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uppressAutoHyphens w:val="0"/>
        <w:autoSpaceDN w:val="0"/>
        <w:ind w:left="142" w:right="-1"/>
        <w:jc w:val="center"/>
        <w:rPr>
          <w:rFonts w:ascii="Verdana" w:hAnsi="Verdana" w:eastAsia="SimSun" w:cs="Times New Roman"/>
          <w:kern w:val="3"/>
          <w:sz w:val="22"/>
          <w:szCs w:val="22"/>
          <w:lang w:eastAsia="en-US" w:bidi="ar-SA"/>
        </w:rPr>
      </w:pPr>
      <w:r>
        <w:rPr>
          <w:rFonts w:ascii="Verdana" w:hAnsi="Verdana" w:eastAsia="Calibri" w:cs="Times New Roman"/>
          <w:i/>
          <w:kern w:val="0"/>
          <w:sz w:val="16"/>
          <w:szCs w:val="16"/>
          <w:lang w:eastAsia="it-IT" w:bidi="ar-SA"/>
        </w:rPr>
        <w:drawing>
          <wp:inline distT="0" distB="0" distL="114300" distR="114300">
            <wp:extent cx="3562350" cy="495300"/>
            <wp:effectExtent l="0" t="0" r="0" b="0"/>
            <wp:docPr id="3" name="Immagine 1" descr="La Nuova Procedura Civ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descr="La Nuova Procedura Civile"/>
                    <pic:cNvPicPr>
                      <a:picLocks noChangeAspect="1"/>
                    </pic:cNvPicPr>
                  </pic:nvPicPr>
                  <pic:blipFill>
                    <a:blip r:embed="rId11"/>
                    <a:stretch>
                      <a:fillRect/>
                    </a:stretch>
                  </pic:blipFill>
                  <pic:spPr>
                    <a:xfrm>
                      <a:off x="0" y="0"/>
                      <a:ext cx="3562350" cy="495300"/>
                    </a:xfrm>
                    <a:prstGeom prst="rect">
                      <a:avLst/>
                    </a:prstGeom>
                    <a:noFill/>
                    <a:ln>
                      <a:noFill/>
                    </a:ln>
                  </pic:spPr>
                </pic:pic>
              </a:graphicData>
            </a:graphic>
          </wp:inline>
        </w:drawing>
      </w:r>
    </w:p>
    <w:p>
      <w:pPr>
        <w:widowControl/>
        <w:suppressAutoHyphens w:val="0"/>
        <w:autoSpaceDN w:val="0"/>
        <w:ind w:left="142" w:right="-1"/>
        <w:jc w:val="center"/>
        <w:rPr>
          <w:rFonts w:ascii="Verdana" w:hAnsi="Verdana" w:eastAsia="Calibri" w:cs="Times New Roman"/>
          <w:b/>
          <w:i/>
          <w:kern w:val="0"/>
          <w:sz w:val="16"/>
          <w:szCs w:val="16"/>
          <w:lang w:eastAsia="it-IT" w:bidi="ar-SA"/>
        </w:rPr>
      </w:pPr>
      <w:r>
        <w:rPr>
          <w:rFonts w:ascii="Verdana" w:hAnsi="Verdana" w:eastAsia="Calibri" w:cs="Times New Roman"/>
          <w:b/>
          <w:i/>
          <w:kern w:val="0"/>
          <w:sz w:val="16"/>
          <w:szCs w:val="16"/>
          <w:lang w:eastAsia="it-IT" w:bidi="ar-SA"/>
        </w:rPr>
        <w:t>Rivista scientifica di Diritto Processuale Civile</w:t>
      </w:r>
    </w:p>
    <w:p>
      <w:pPr>
        <w:widowControl/>
        <w:suppressAutoHyphens w:val="0"/>
        <w:autoSpaceDN w:val="0"/>
        <w:ind w:left="142" w:right="-1"/>
        <w:jc w:val="center"/>
        <w:rPr>
          <w:rFonts w:ascii="Verdana" w:hAnsi="Verdana" w:eastAsia="Calibri" w:cs="Times New Roman"/>
          <w:kern w:val="0"/>
          <w:sz w:val="16"/>
          <w:szCs w:val="16"/>
          <w:lang w:eastAsia="it-IT" w:bidi="ar-SA"/>
        </w:rPr>
      </w:pPr>
      <w:r>
        <w:rPr>
          <w:rFonts w:ascii="Verdana" w:hAnsi="Verdana" w:eastAsia="Calibri" w:cs="Times New Roman"/>
          <w:kern w:val="0"/>
          <w:sz w:val="16"/>
          <w:szCs w:val="16"/>
          <w:lang w:eastAsia="it-IT" w:bidi="ar-SA"/>
        </w:rPr>
        <w:t>ISSN 2281-8693</w:t>
      </w:r>
    </w:p>
    <w:p>
      <w:pPr>
        <w:widowControl/>
        <w:suppressAutoHyphens w:val="0"/>
        <w:autoSpaceDN w:val="0"/>
        <w:ind w:left="142" w:right="-1"/>
        <w:jc w:val="center"/>
        <w:rPr>
          <w:rFonts w:ascii="Verdana" w:hAnsi="Verdana" w:eastAsia="Calibri" w:cs="Times New Roman"/>
          <w:kern w:val="0"/>
          <w:sz w:val="16"/>
          <w:szCs w:val="16"/>
          <w:lang w:eastAsia="it-IT" w:bidi="ar-SA"/>
        </w:rPr>
      </w:pPr>
      <w:r>
        <w:rPr>
          <w:rFonts w:ascii="Verdana" w:hAnsi="Verdana" w:eastAsia="Calibri" w:cs="Times New Roman"/>
          <w:kern w:val="0"/>
          <w:sz w:val="16"/>
          <w:szCs w:val="16"/>
          <w:lang w:eastAsia="it-IT" w:bidi="ar-SA"/>
        </w:rPr>
        <w:t>Pubblicazione del 19.12.2022</w:t>
      </w:r>
    </w:p>
    <w:p>
      <w:pPr>
        <w:widowControl/>
        <w:pBdr>
          <w:bottom w:val="single" w:color="000000" w:sz="6" w:space="1"/>
        </w:pBdr>
        <w:suppressAutoHyphens w:val="0"/>
        <w:autoSpaceDN w:val="0"/>
        <w:ind w:left="142" w:right="-1"/>
        <w:jc w:val="center"/>
        <w:rPr>
          <w:rFonts w:ascii="Verdana" w:hAnsi="Verdana" w:eastAsia="Calibri" w:cs="Times New Roman"/>
          <w:i/>
          <w:kern w:val="0"/>
          <w:sz w:val="16"/>
          <w:szCs w:val="16"/>
          <w:lang w:eastAsia="it-IT" w:bidi="ar-SA"/>
        </w:rPr>
      </w:pPr>
      <w:r>
        <w:rPr>
          <w:rFonts w:ascii="Verdana" w:hAnsi="Verdana" w:eastAsia="Calibri" w:cs="Times New Roman"/>
          <w:i/>
          <w:kern w:val="0"/>
          <w:sz w:val="16"/>
          <w:szCs w:val="16"/>
          <w:lang w:eastAsia="it-IT" w:bidi="ar-SA"/>
        </w:rPr>
        <w:t>La Nuova Procedura Civile, 3, 2022</w:t>
      </w:r>
    </w:p>
    <w:p>
      <w:pPr>
        <w:widowControl/>
        <w:pBdr>
          <w:bottom w:val="single" w:color="000000" w:sz="6" w:space="1"/>
        </w:pBdr>
        <w:suppressAutoHyphens w:val="0"/>
        <w:autoSpaceDN w:val="0"/>
        <w:ind w:left="142" w:right="-1"/>
        <w:jc w:val="center"/>
        <w:rPr>
          <w:rFonts w:ascii="Verdana" w:hAnsi="Verdana" w:eastAsia="Calibri" w:cs="Times New Roman"/>
          <w:i/>
          <w:color w:val="17365D"/>
          <w:kern w:val="0"/>
          <w:sz w:val="16"/>
          <w:szCs w:val="16"/>
          <w:lang w:eastAsia="it-IT" w:bidi="ar-SA"/>
        </w:rPr>
      </w:pPr>
    </w:p>
    <w:p>
      <w:pPr>
        <w:widowControl/>
        <w:pBdr>
          <w:bottom w:val="single" w:color="auto" w:sz="6" w:space="0"/>
        </w:pBdr>
        <w:suppressAutoHyphens w:val="0"/>
        <w:autoSpaceDN w:val="0"/>
        <w:ind w:left="142"/>
        <w:jc w:val="center"/>
        <w:rPr>
          <w:rFonts w:ascii="Verdana" w:hAnsi="Verdana"/>
          <w:color w:val="0070C0"/>
          <w:sz w:val="14"/>
          <w:szCs w:val="14"/>
          <w:lang w:eastAsia="it-IT" w:bidi="ar-SA"/>
        </w:rPr>
      </w:pPr>
    </w:p>
    <w:p>
      <w:pPr>
        <w:widowControl/>
        <w:pBdr>
          <w:bottom w:val="single" w:color="auto" w:sz="6" w:space="0"/>
        </w:pBdr>
        <w:suppressAutoHyphens w:val="0"/>
        <w:autoSpaceDN w:val="0"/>
        <w:ind w:left="142"/>
        <w:jc w:val="center"/>
        <w:rPr>
          <w:rStyle w:val="16"/>
          <w:rFonts w:ascii="Verdana" w:hAnsi="Verdana"/>
          <w:color w:val="0070C0"/>
          <w:sz w:val="14"/>
          <w:szCs w:val="14"/>
          <w:u w:val="none"/>
          <w:lang w:eastAsia="it-IT" w:bidi="ar-SA"/>
        </w:rPr>
      </w:pPr>
      <w:r>
        <w:rPr>
          <w:rFonts w:ascii="Verdana" w:hAnsi="Verdana"/>
          <w:color w:val="0070C0"/>
          <w:sz w:val="14"/>
          <w:szCs w:val="14"/>
          <w:lang w:eastAsia="it-IT" w:bidi="ar-SA"/>
        </w:rPr>
        <w:fldChar w:fldCharType="begin"/>
      </w:r>
      <w:r>
        <w:rPr>
          <w:rFonts w:ascii="Verdana" w:hAnsi="Verdana"/>
          <w:color w:val="0070C0"/>
          <w:sz w:val="14"/>
          <w:szCs w:val="14"/>
          <w:lang w:eastAsia="it-IT" w:bidi="ar-SA"/>
        </w:rPr>
        <w:instrText xml:space="preserve"> HYPERLINK "http://www.dirittoavanzato.it/" </w:instrText>
      </w:r>
      <w:r>
        <w:rPr>
          <w:rFonts w:ascii="Verdana" w:hAnsi="Verdana"/>
          <w:color w:val="0070C0"/>
          <w:sz w:val="14"/>
          <w:szCs w:val="14"/>
          <w:lang w:eastAsia="it-IT" w:bidi="ar-SA"/>
        </w:rPr>
        <w:fldChar w:fldCharType="separate"/>
      </w:r>
      <w:r>
        <w:rPr>
          <w:rStyle w:val="16"/>
          <w:rFonts w:ascii="Verdana" w:hAnsi="Verdana"/>
          <w:color w:val="0070C0"/>
          <w:sz w:val="14"/>
          <w:szCs w:val="14"/>
          <w:u w:val="none"/>
          <w:lang w:eastAsia="it-IT" w:bidi="ar-SA"/>
        </w:rPr>
        <w:t>Centro Studi</w:t>
      </w:r>
    </w:p>
    <w:p>
      <w:pPr>
        <w:widowControl/>
        <w:pBdr>
          <w:bottom w:val="single" w:color="auto" w:sz="6" w:space="0"/>
        </w:pBdr>
        <w:suppressAutoHyphens w:val="0"/>
        <w:autoSpaceDN w:val="0"/>
        <w:ind w:left="142"/>
        <w:jc w:val="center"/>
        <w:rPr>
          <w:rStyle w:val="16"/>
          <w:rFonts w:ascii="Verdana" w:hAnsi="Verdana"/>
          <w:color w:val="0070C0"/>
          <w:u w:val="none"/>
          <w:lang w:eastAsia="it-IT" w:bidi="ar-SA"/>
        </w:rPr>
      </w:pPr>
      <w:r>
        <w:rPr>
          <w:rStyle w:val="16"/>
          <w:rFonts w:cs="Times New Roman"/>
          <w:color w:val="FF0000"/>
          <w:sz w:val="50"/>
          <w:szCs w:val="50"/>
          <w:u w:val="none"/>
          <w:lang w:eastAsia="it-IT" w:bidi="ar-SA"/>
        </w:rPr>
        <w:t>D</w:t>
      </w:r>
      <w:r>
        <w:rPr>
          <w:rStyle w:val="16"/>
          <w:rFonts w:ascii="Verdana" w:hAnsi="Verdana"/>
          <w:color w:val="0070C0"/>
          <w:sz w:val="26"/>
          <w:szCs w:val="26"/>
          <w:u w:val="none"/>
          <w:lang w:eastAsia="it-IT" w:bidi="ar-SA"/>
        </w:rPr>
        <w:t>iritto</w:t>
      </w:r>
      <w:r>
        <w:rPr>
          <w:rStyle w:val="16"/>
          <w:rFonts w:ascii="Verdana" w:hAnsi="Verdana"/>
          <w:color w:val="0070C0"/>
          <w:u w:val="none"/>
          <w:lang w:eastAsia="it-IT" w:bidi="ar-SA"/>
        </w:rPr>
        <w:t xml:space="preserve"> </w:t>
      </w:r>
      <w:r>
        <w:rPr>
          <w:rStyle w:val="16"/>
          <w:rFonts w:cs="Times New Roman"/>
          <w:i/>
          <w:color w:val="FF0000"/>
          <w:sz w:val="50"/>
          <w:szCs w:val="50"/>
          <w:u w:val="none"/>
          <w:lang w:eastAsia="it-IT" w:bidi="ar-SA"/>
        </w:rPr>
        <w:t>A</w:t>
      </w:r>
      <w:r>
        <w:rPr>
          <w:rStyle w:val="16"/>
          <w:rFonts w:ascii="Verdana" w:hAnsi="Verdana"/>
          <w:i/>
          <w:color w:val="0070C0"/>
          <w:sz w:val="26"/>
          <w:szCs w:val="26"/>
          <w:u w:val="none"/>
          <w:lang w:eastAsia="it-IT" w:bidi="ar-SA"/>
        </w:rPr>
        <w:t>vanzato</w:t>
      </w:r>
    </w:p>
    <w:p>
      <w:pPr>
        <w:widowControl/>
        <w:pBdr>
          <w:bottom w:val="single" w:color="auto" w:sz="6" w:space="0"/>
        </w:pBdr>
        <w:suppressAutoHyphens w:val="0"/>
        <w:autoSpaceDN w:val="0"/>
        <w:ind w:left="142"/>
        <w:jc w:val="center"/>
        <w:rPr>
          <w:rStyle w:val="16"/>
          <w:rFonts w:ascii="Verdana" w:hAnsi="Verdana"/>
          <w:i/>
          <w:color w:val="0070C0"/>
          <w:sz w:val="14"/>
          <w:szCs w:val="14"/>
          <w:u w:val="none"/>
          <w:lang w:eastAsia="it-IT" w:bidi="ar-SA"/>
        </w:rPr>
      </w:pPr>
      <w:r>
        <w:rPr>
          <w:rStyle w:val="16"/>
          <w:rFonts w:ascii="Verdana" w:hAnsi="Verdana"/>
          <w:i/>
          <w:color w:val="0070C0"/>
          <w:sz w:val="14"/>
          <w:szCs w:val="14"/>
          <w:u w:val="none"/>
          <w:lang w:eastAsia="it-IT" w:bidi="ar-SA"/>
        </w:rPr>
        <w:t>EDIZIONI</w:t>
      </w:r>
    </w:p>
    <w:p>
      <w:pPr>
        <w:widowControl/>
        <w:pBdr>
          <w:bottom w:val="single" w:color="auto" w:sz="6" w:space="0"/>
        </w:pBdr>
        <w:suppressAutoHyphens w:val="0"/>
        <w:autoSpaceDN w:val="0"/>
        <w:ind w:left="142"/>
        <w:jc w:val="center"/>
        <w:rPr>
          <w:rFonts w:ascii="Verdana" w:hAnsi="Verdana"/>
          <w:i/>
          <w:color w:val="0070C0"/>
          <w:sz w:val="16"/>
          <w:szCs w:val="16"/>
          <w:lang w:eastAsia="it-IT" w:bidi="ar-SA"/>
        </w:rPr>
      </w:pPr>
      <w:r>
        <w:rPr>
          <w:rStyle w:val="16"/>
          <w:rFonts w:ascii="Verdana" w:hAnsi="Verdana"/>
          <w:i/>
          <w:color w:val="BFBFBF" w:themeColor="background1" w:themeShade="BF"/>
          <w:sz w:val="16"/>
          <w:szCs w:val="16"/>
          <w:u w:val="none"/>
          <w:lang w:eastAsia="it-IT" w:bidi="ar-SA"/>
        </w:rPr>
        <w:t>___________________</w:t>
      </w:r>
      <w:r>
        <w:rPr>
          <w:rFonts w:ascii="Verdana" w:hAnsi="Verdana"/>
          <w:color w:val="0070C0"/>
          <w:sz w:val="14"/>
          <w:szCs w:val="14"/>
          <w:lang w:eastAsia="it-IT" w:bidi="ar-SA"/>
        </w:rPr>
        <w:fldChar w:fldCharType="end"/>
      </w:r>
    </w:p>
    <w:p>
      <w:pPr>
        <w:widowControl/>
        <w:pBdr>
          <w:bottom w:val="single" w:color="auto" w:sz="6" w:space="0"/>
        </w:pBdr>
        <w:suppressAutoHyphens w:val="0"/>
        <w:autoSpaceDN w:val="0"/>
        <w:ind w:left="142"/>
        <w:jc w:val="center"/>
        <w:rPr>
          <w:rFonts w:ascii="Verdana" w:hAnsi="Verdana"/>
          <w:i/>
          <w:color w:val="FF0000"/>
          <w:sz w:val="16"/>
          <w:szCs w:val="16"/>
          <w:lang w:eastAsia="it-IT" w:bidi="ar-SA"/>
        </w:rPr>
      </w:pPr>
      <w:r>
        <w:fldChar w:fldCharType="begin"/>
      </w:r>
      <w:r>
        <w:instrText xml:space="preserve"> HYPERLINK "file:///C:\\Users\\Giulio\\Downloads\\www.dirittoavanzato.it" </w:instrText>
      </w:r>
      <w:r>
        <w:fldChar w:fldCharType="separate"/>
      </w:r>
      <w:r>
        <w:rPr>
          <w:rStyle w:val="16"/>
          <w:rFonts w:ascii="Verdana" w:hAnsi="Verdana"/>
          <w:i/>
          <w:color w:val="FF0000"/>
          <w:sz w:val="16"/>
          <w:szCs w:val="16"/>
          <w:u w:val="none"/>
          <w:lang w:eastAsia="it-IT" w:bidi="ar-SA"/>
        </w:rPr>
        <w:t>www.dirittoavanzato.it</w:t>
      </w:r>
      <w:r>
        <w:rPr>
          <w:rStyle w:val="16"/>
          <w:rFonts w:ascii="Verdana" w:hAnsi="Verdana"/>
          <w:i/>
          <w:color w:val="FF0000"/>
          <w:sz w:val="16"/>
          <w:szCs w:val="16"/>
          <w:u w:val="none"/>
          <w:lang w:eastAsia="it-IT" w:bidi="ar-SA"/>
        </w:rPr>
        <w:fldChar w:fldCharType="end"/>
      </w:r>
    </w:p>
    <w:p>
      <w:pPr>
        <w:widowControl/>
        <w:pBdr>
          <w:bottom w:val="single" w:color="auto" w:sz="6" w:space="0"/>
        </w:pBdr>
        <w:suppressAutoHyphens w:val="0"/>
        <w:autoSpaceDN w:val="0"/>
        <w:ind w:left="142"/>
        <w:jc w:val="center"/>
        <w:rPr>
          <w:rFonts w:ascii="Verdana" w:hAnsi="Verdana"/>
          <w:color w:val="FF0000"/>
          <w:sz w:val="14"/>
          <w:szCs w:val="14"/>
          <w:lang w:eastAsia="it-IT" w:bidi="ar-SA"/>
        </w:rPr>
      </w:pPr>
      <w:r>
        <w:rPr>
          <w:rFonts w:ascii="Verdana" w:hAnsi="Verdana"/>
          <w:color w:val="FF0000"/>
          <w:sz w:val="14"/>
          <w:szCs w:val="14"/>
          <w:lang w:eastAsia="it-IT" w:bidi="ar-SA"/>
        </w:rPr>
        <w:t xml:space="preserve"> </w:t>
      </w:r>
    </w:p>
    <w:p>
      <w:pPr>
        <w:widowControl/>
        <w:suppressAutoHyphens w:val="0"/>
        <w:autoSpaceDN w:val="0"/>
        <w:spacing w:line="276" w:lineRule="auto"/>
        <w:ind w:left="142" w:right="-1"/>
        <w:jc w:val="center"/>
        <w:rPr>
          <w:rFonts w:ascii="Verdana" w:hAnsi="Verdana" w:eastAsia="Calibri" w:cs="Times New Roman"/>
          <w:kern w:val="0"/>
          <w:sz w:val="16"/>
          <w:szCs w:val="16"/>
          <w:lang w:eastAsia="it-IT" w:bidi="ar-SA"/>
        </w:rPr>
      </w:pPr>
    </w:p>
    <w:p>
      <w:pPr>
        <w:widowControl/>
        <w:pBdr>
          <w:bottom w:val="single" w:color="000000" w:sz="6" w:space="1"/>
        </w:pBdr>
        <w:suppressAutoHyphens w:val="0"/>
        <w:autoSpaceDN w:val="0"/>
        <w:spacing w:line="276" w:lineRule="auto"/>
        <w:ind w:left="142" w:right="-1"/>
        <w:jc w:val="center"/>
        <w:rPr>
          <w:rFonts w:ascii="Verdana" w:hAnsi="Verdana" w:eastAsia="Calibri" w:cs="Times New Roman"/>
          <w:kern w:val="0"/>
          <w:sz w:val="16"/>
          <w:szCs w:val="16"/>
          <w:lang w:eastAsia="it-IT" w:bidi="ar-SA"/>
        </w:rPr>
      </w:pPr>
      <w:r>
        <w:rPr>
          <w:rFonts w:ascii="Verdana" w:hAnsi="Verdana" w:eastAsia="Calibri" w:cs="Times New Roman"/>
          <w:kern w:val="0"/>
          <w:sz w:val="16"/>
          <w:szCs w:val="16"/>
          <w:lang w:eastAsia="it-IT" w:bidi="ar-SA"/>
        </w:rPr>
        <w:t>Comitato scientifico:</w:t>
      </w:r>
    </w:p>
    <w:p>
      <w:pPr>
        <w:widowControl/>
        <w:pBdr>
          <w:bottom w:val="single" w:color="000000" w:sz="6" w:space="1"/>
        </w:pBdr>
        <w:suppressAutoHyphens w:val="0"/>
        <w:autoSpaceDN w:val="0"/>
        <w:spacing w:line="276" w:lineRule="auto"/>
        <w:ind w:left="142" w:right="-1"/>
        <w:jc w:val="center"/>
        <w:rPr>
          <w:rFonts w:ascii="Verdana" w:hAnsi="Verdana" w:eastAsia="Calibri" w:cs="Times New Roman"/>
          <w:i/>
          <w:kern w:val="0"/>
          <w:sz w:val="16"/>
          <w:szCs w:val="16"/>
          <w:lang w:eastAsia="it-IT" w:bidi="ar-SA"/>
        </w:rPr>
      </w:pPr>
      <w:r>
        <w:rPr>
          <w:rFonts w:ascii="Verdana" w:hAnsi="Verdana" w:eastAsia="Calibri" w:cs="Times New Roman"/>
          <w:i/>
          <w:kern w:val="0"/>
          <w:sz w:val="16"/>
          <w:szCs w:val="16"/>
          <w:lang w:eastAsia="it-IT" w:bidi="ar-SA"/>
        </w:rPr>
        <w:t xml:space="preserve">Simone </w:t>
      </w:r>
      <w:r>
        <w:rPr>
          <w:rFonts w:ascii="Verdana" w:hAnsi="Verdana" w:eastAsia="Calibri" w:cs="Times New Roman"/>
          <w:b/>
          <w:i/>
          <w:kern w:val="0"/>
          <w:sz w:val="16"/>
          <w:szCs w:val="16"/>
          <w:lang w:eastAsia="it-IT" w:bidi="ar-SA"/>
        </w:rPr>
        <w:t xml:space="preserve">ALECCI </w:t>
      </w:r>
      <w:r>
        <w:rPr>
          <w:rFonts w:ascii="Verdana" w:hAnsi="Verdana" w:eastAsia="Calibri" w:cs="Times New Roman"/>
          <w:i/>
          <w:kern w:val="0"/>
          <w:sz w:val="16"/>
          <w:szCs w:val="16"/>
          <w:lang w:eastAsia="it-IT" w:bidi="ar-SA"/>
        </w:rPr>
        <w:t xml:space="preserve">(Magistrato) - Elisabetta </w:t>
      </w:r>
      <w:r>
        <w:rPr>
          <w:rFonts w:ascii="Verdana" w:hAnsi="Verdana" w:eastAsia="Calibri" w:cs="Times New Roman"/>
          <w:b/>
          <w:i/>
          <w:kern w:val="0"/>
          <w:sz w:val="16"/>
          <w:szCs w:val="16"/>
          <w:lang w:eastAsia="it-IT" w:bidi="ar-SA"/>
        </w:rPr>
        <w:t xml:space="preserve">BERTACCHINI </w:t>
      </w:r>
      <w:r>
        <w:rPr>
          <w:rFonts w:ascii="Verdana" w:hAnsi="Verdana" w:eastAsia="Calibri" w:cs="Times New Roman"/>
          <w:i/>
          <w:kern w:val="0"/>
          <w:sz w:val="16"/>
          <w:szCs w:val="16"/>
          <w:lang w:eastAsia="it-IT" w:bidi="ar-SA"/>
        </w:rPr>
        <w:t xml:space="preserve">(Professore ordinario di diritto commerciale, Preside Facoltà Giurisprudenza)- Mauro </w:t>
      </w:r>
      <w:r>
        <w:rPr>
          <w:rFonts w:ascii="Verdana" w:hAnsi="Verdana" w:eastAsia="Calibri" w:cs="Times New Roman"/>
          <w:b/>
          <w:i/>
          <w:kern w:val="0"/>
          <w:sz w:val="16"/>
          <w:szCs w:val="16"/>
          <w:lang w:eastAsia="it-IT" w:bidi="ar-SA"/>
        </w:rPr>
        <w:t>BOVE</w:t>
      </w:r>
      <w:r>
        <w:rPr>
          <w:rFonts w:ascii="Verdana" w:hAnsi="Verdana" w:eastAsia="Calibri" w:cs="Times New Roman"/>
          <w:i/>
          <w:kern w:val="0"/>
          <w:sz w:val="16"/>
          <w:szCs w:val="16"/>
          <w:lang w:eastAsia="it-IT" w:bidi="ar-SA"/>
        </w:rPr>
        <w:t xml:space="preserve"> (Professore ordinario di diritto processuale civile) - Giuseppe </w:t>
      </w:r>
      <w:r>
        <w:rPr>
          <w:rFonts w:ascii="Verdana" w:hAnsi="Verdana" w:eastAsia="Calibri" w:cs="Times New Roman"/>
          <w:b/>
          <w:i/>
          <w:kern w:val="0"/>
          <w:sz w:val="16"/>
          <w:szCs w:val="16"/>
          <w:lang w:eastAsia="it-IT" w:bidi="ar-SA"/>
        </w:rPr>
        <w:t>BUFFONE</w:t>
      </w:r>
      <w:r>
        <w:rPr>
          <w:rFonts w:ascii="Verdana" w:hAnsi="Verdana" w:eastAsia="Calibri" w:cs="Times New Roman"/>
          <w:i/>
          <w:kern w:val="0"/>
          <w:sz w:val="16"/>
          <w:szCs w:val="16"/>
          <w:lang w:eastAsia="it-IT" w:bidi="ar-SA"/>
        </w:rPr>
        <w:t xml:space="preserve"> (Magistrato addetto alla direzione generale della giustizia civile presso il Ministero della Giustizia) – Tiziana </w:t>
      </w:r>
      <w:r>
        <w:rPr>
          <w:rFonts w:ascii="Verdana" w:hAnsi="Verdana" w:eastAsia="Calibri" w:cs="Times New Roman"/>
          <w:b/>
          <w:i/>
          <w:kern w:val="0"/>
          <w:sz w:val="16"/>
          <w:szCs w:val="16"/>
          <w:lang w:eastAsia="it-IT" w:bidi="ar-SA"/>
        </w:rPr>
        <w:t>CARADONIO</w:t>
      </w:r>
      <w:r>
        <w:rPr>
          <w:rFonts w:ascii="Verdana" w:hAnsi="Verdana" w:eastAsia="Calibri" w:cs="Times New Roman"/>
          <w:i/>
          <w:kern w:val="0"/>
          <w:sz w:val="16"/>
          <w:szCs w:val="16"/>
          <w:lang w:eastAsia="it-IT" w:bidi="ar-SA"/>
        </w:rPr>
        <w:t xml:space="preserve"> (Magistrato) -  Costanzo Mario </w:t>
      </w:r>
      <w:r>
        <w:rPr>
          <w:rFonts w:ascii="Verdana" w:hAnsi="Verdana" w:eastAsia="Calibri" w:cs="Times New Roman"/>
          <w:b/>
          <w:i/>
          <w:kern w:val="0"/>
          <w:sz w:val="16"/>
          <w:szCs w:val="16"/>
          <w:lang w:eastAsia="it-IT" w:bidi="ar-SA"/>
        </w:rPr>
        <w:t>CEA</w:t>
      </w:r>
      <w:r>
        <w:rPr>
          <w:rFonts w:ascii="Verdana" w:hAnsi="Verdana" w:eastAsia="Calibri" w:cs="Times New Roman"/>
          <w:i/>
          <w:kern w:val="0"/>
          <w:sz w:val="16"/>
          <w:szCs w:val="16"/>
          <w:lang w:eastAsia="it-IT" w:bidi="ar-SA"/>
        </w:rPr>
        <w:t xml:space="preserve"> (Magistrato, già Presidente di sezione) - Paolo </w:t>
      </w:r>
      <w:r>
        <w:rPr>
          <w:rFonts w:ascii="Verdana" w:hAnsi="Verdana" w:eastAsia="Calibri" w:cs="Times New Roman"/>
          <w:b/>
          <w:i/>
          <w:kern w:val="0"/>
          <w:sz w:val="16"/>
          <w:szCs w:val="16"/>
          <w:lang w:eastAsia="it-IT" w:bidi="ar-SA"/>
        </w:rPr>
        <w:t xml:space="preserve">CENDON </w:t>
      </w:r>
      <w:r>
        <w:rPr>
          <w:rFonts w:ascii="Verdana" w:hAnsi="Verdana" w:eastAsia="Calibri" w:cs="Times New Roman"/>
          <w:i/>
          <w:kern w:val="0"/>
          <w:sz w:val="16"/>
          <w:szCs w:val="16"/>
          <w:lang w:eastAsia="it-IT" w:bidi="ar-SA"/>
        </w:rPr>
        <w:t xml:space="preserve">(Professore ordinario di diritto privato) - Gianmarco </w:t>
      </w:r>
      <w:r>
        <w:rPr>
          <w:rFonts w:ascii="Verdana" w:hAnsi="Verdana" w:eastAsia="Calibri" w:cs="Times New Roman"/>
          <w:b/>
          <w:i/>
          <w:kern w:val="0"/>
          <w:sz w:val="16"/>
          <w:szCs w:val="16"/>
          <w:lang w:eastAsia="it-IT" w:bidi="ar-SA"/>
        </w:rPr>
        <w:t>CESARI</w:t>
      </w:r>
      <w:r>
        <w:rPr>
          <w:rFonts w:ascii="Verdana" w:hAnsi="Verdana" w:eastAsia="Calibri" w:cs="Times New Roman"/>
          <w:i/>
          <w:kern w:val="0"/>
          <w:sz w:val="16"/>
          <w:szCs w:val="16"/>
          <w:lang w:eastAsia="it-IT" w:bidi="ar-SA"/>
        </w:rPr>
        <w:t xml:space="preserve"> (Avvocato cassazionista dell’associazione Familiari e Vittime della strada, titolare dello Studio legale Cesari in Roma) - Caterina </w:t>
      </w:r>
      <w:r>
        <w:rPr>
          <w:rFonts w:ascii="Verdana" w:hAnsi="Verdana" w:eastAsia="Calibri" w:cs="Times New Roman"/>
          <w:b/>
          <w:i/>
          <w:kern w:val="0"/>
          <w:sz w:val="16"/>
          <w:szCs w:val="16"/>
          <w:lang w:eastAsia="it-IT" w:bidi="ar-SA"/>
        </w:rPr>
        <w:t xml:space="preserve">CHIARAVALLOTI </w:t>
      </w:r>
      <w:r>
        <w:rPr>
          <w:rFonts w:ascii="Verdana" w:hAnsi="Verdana" w:eastAsia="Calibri" w:cs="Times New Roman"/>
          <w:i/>
          <w:kern w:val="0"/>
          <w:sz w:val="16"/>
          <w:szCs w:val="16"/>
          <w:lang w:eastAsia="it-IT" w:bidi="ar-SA"/>
        </w:rPr>
        <w:t xml:space="preserve">(Presidente di Tribunale) - Bona </w:t>
      </w:r>
      <w:r>
        <w:rPr>
          <w:rFonts w:ascii="Verdana" w:hAnsi="Verdana" w:eastAsia="Calibri" w:cs="Times New Roman"/>
          <w:b/>
          <w:i/>
          <w:kern w:val="0"/>
          <w:sz w:val="16"/>
          <w:szCs w:val="16"/>
          <w:lang w:eastAsia="it-IT" w:bidi="ar-SA"/>
        </w:rPr>
        <w:t>CIACCIA</w:t>
      </w:r>
      <w:r>
        <w:rPr>
          <w:rFonts w:ascii="Verdana" w:hAnsi="Verdana" w:eastAsia="Calibri" w:cs="Times New Roman"/>
          <w:i/>
          <w:kern w:val="0"/>
          <w:sz w:val="16"/>
          <w:szCs w:val="16"/>
          <w:lang w:eastAsia="it-IT" w:bidi="ar-SA"/>
        </w:rPr>
        <w:t xml:space="preserve"> (Professore ordinario di diritto processuale civile) - Leonardo </w:t>
      </w:r>
      <w:r>
        <w:rPr>
          <w:rFonts w:ascii="Verdana" w:hAnsi="Verdana" w:eastAsia="Calibri" w:cs="Times New Roman"/>
          <w:b/>
          <w:i/>
          <w:kern w:val="0"/>
          <w:sz w:val="16"/>
          <w:szCs w:val="16"/>
          <w:lang w:eastAsia="it-IT" w:bidi="ar-SA"/>
        </w:rPr>
        <w:t>CIRCELLI</w:t>
      </w:r>
      <w:r>
        <w:rPr>
          <w:rFonts w:ascii="Verdana" w:hAnsi="Verdana" w:eastAsia="Calibri" w:cs="Times New Roman"/>
          <w:i/>
          <w:kern w:val="0"/>
          <w:sz w:val="16"/>
          <w:szCs w:val="16"/>
          <w:lang w:eastAsia="it-IT" w:bidi="ar-SA"/>
        </w:rPr>
        <w:t xml:space="preserve"> (Magistrato,</w:t>
      </w:r>
      <w:r>
        <w:t xml:space="preserve"> </w:t>
      </w:r>
      <w:r>
        <w:rPr>
          <w:rFonts w:ascii="Verdana" w:hAnsi="Verdana" w:eastAsia="Calibri" w:cs="Times New Roman"/>
          <w:i/>
          <w:kern w:val="0"/>
          <w:sz w:val="16"/>
          <w:szCs w:val="16"/>
          <w:lang w:eastAsia="it-IT" w:bidi="ar-SA"/>
        </w:rPr>
        <w:t xml:space="preserve">assistente di studio alla Corte Costituzionale) - Vittorio </w:t>
      </w:r>
      <w:r>
        <w:rPr>
          <w:rFonts w:ascii="Verdana" w:hAnsi="Verdana" w:eastAsia="Calibri" w:cs="Times New Roman"/>
          <w:b/>
          <w:i/>
          <w:kern w:val="0"/>
          <w:sz w:val="16"/>
          <w:szCs w:val="16"/>
          <w:lang w:eastAsia="it-IT" w:bidi="ar-SA"/>
        </w:rPr>
        <w:t xml:space="preserve">CORASANITI </w:t>
      </w:r>
      <w:r>
        <w:rPr>
          <w:rFonts w:ascii="Verdana" w:hAnsi="Verdana" w:eastAsia="Calibri" w:cs="Times New Roman"/>
          <w:i/>
          <w:kern w:val="0"/>
          <w:sz w:val="16"/>
          <w:szCs w:val="16"/>
          <w:lang w:eastAsia="it-IT" w:bidi="ar-SA"/>
        </w:rPr>
        <w:t xml:space="preserve">(Magistrato, ufficio studi del C.S.M.) – Mirella </w:t>
      </w:r>
      <w:r>
        <w:rPr>
          <w:rFonts w:ascii="Verdana" w:hAnsi="Verdana" w:eastAsia="Calibri" w:cs="Times New Roman"/>
          <w:b/>
          <w:i/>
          <w:kern w:val="0"/>
          <w:sz w:val="16"/>
          <w:szCs w:val="16"/>
          <w:lang w:eastAsia="it-IT" w:bidi="ar-SA"/>
        </w:rPr>
        <w:t xml:space="preserve">DELIA </w:t>
      </w:r>
      <w:r>
        <w:rPr>
          <w:rFonts w:ascii="Verdana" w:hAnsi="Verdana" w:eastAsia="Calibri" w:cs="Times New Roman"/>
          <w:i/>
          <w:kern w:val="0"/>
          <w:sz w:val="16"/>
          <w:szCs w:val="16"/>
          <w:lang w:eastAsia="it-IT" w:bidi="ar-SA"/>
        </w:rPr>
        <w:t xml:space="preserve">(Magistrato) - Lorenzo </w:t>
      </w:r>
      <w:r>
        <w:rPr>
          <w:rFonts w:ascii="Verdana" w:hAnsi="Verdana" w:eastAsia="Calibri" w:cs="Times New Roman"/>
          <w:b/>
          <w:i/>
          <w:kern w:val="0"/>
          <w:sz w:val="16"/>
          <w:szCs w:val="16"/>
          <w:lang w:eastAsia="it-IT" w:bidi="ar-SA"/>
        </w:rPr>
        <w:t>DELLI PRISCOLI</w:t>
      </w:r>
      <w:r>
        <w:rPr>
          <w:rFonts w:ascii="Verdana" w:hAnsi="Verdana" w:eastAsia="Calibri" w:cs="Times New Roman"/>
          <w:i/>
          <w:kern w:val="0"/>
          <w:sz w:val="16"/>
          <w:szCs w:val="16"/>
          <w:lang w:eastAsia="it-IT" w:bidi="ar-SA"/>
        </w:rPr>
        <w:t xml:space="preserve"> (</w:t>
      </w:r>
      <w:r>
        <w:rPr>
          <w:rFonts w:ascii="Verdana" w:hAnsi="Verdana" w:eastAsia="Calibri" w:cs="Times New Roman"/>
          <w:i/>
          <w:iCs/>
          <w:kern w:val="0"/>
          <w:sz w:val="16"/>
          <w:szCs w:val="16"/>
          <w:lang w:eastAsia="it-IT" w:bidi="ar-SA"/>
        </w:rPr>
        <w:t>Consigliere Suprema Corte di Cassazione</w:t>
      </w:r>
      <w:r>
        <w:rPr>
          <w:rFonts w:ascii="Verdana" w:hAnsi="Verdana" w:eastAsia="Calibri" w:cs="Times New Roman"/>
          <w:i/>
          <w:kern w:val="0"/>
          <w:sz w:val="16"/>
          <w:szCs w:val="16"/>
          <w:lang w:eastAsia="it-IT" w:bidi="ar-SA"/>
        </w:rPr>
        <w:t xml:space="preserve">) - </w:t>
      </w:r>
      <w:r>
        <w:rPr>
          <w:rFonts w:ascii="Verdana" w:hAnsi="Verdana" w:eastAsia="Calibri" w:cs="Times New Roman"/>
          <w:bCs/>
          <w:kern w:val="0"/>
          <w:sz w:val="16"/>
          <w:szCs w:val="16"/>
          <w:lang w:eastAsia="it-IT" w:bidi="ar-SA"/>
        </w:rPr>
        <w:t>Paolo</w:t>
      </w:r>
      <w:r>
        <w:rPr>
          <w:rFonts w:ascii="Verdana" w:hAnsi="Verdana" w:eastAsia="Calibri" w:cs="Times New Roman"/>
          <w:kern w:val="0"/>
          <w:sz w:val="16"/>
          <w:szCs w:val="16"/>
          <w:lang w:eastAsia="it-IT" w:bidi="ar-SA"/>
        </w:rPr>
        <w:t> </w:t>
      </w:r>
      <w:r>
        <w:rPr>
          <w:rFonts w:ascii="Verdana" w:hAnsi="Verdana" w:eastAsia="Calibri" w:cs="Times New Roman"/>
          <w:b/>
          <w:bCs/>
          <w:kern w:val="0"/>
          <w:sz w:val="16"/>
          <w:szCs w:val="16"/>
          <w:lang w:eastAsia="it-IT" w:bidi="ar-SA"/>
        </w:rPr>
        <w:t>DI MARZIO</w:t>
      </w:r>
      <w:r>
        <w:rPr>
          <w:rFonts w:ascii="Verdana" w:hAnsi="Verdana" w:eastAsia="Calibri" w:cs="Times New Roman"/>
          <w:b/>
          <w:bCs/>
          <w:i/>
          <w:kern w:val="0"/>
          <w:sz w:val="16"/>
          <w:szCs w:val="16"/>
          <w:lang w:eastAsia="it-IT" w:bidi="ar-SA"/>
        </w:rPr>
        <w:t> </w:t>
      </w:r>
      <w:r>
        <w:rPr>
          <w:rFonts w:ascii="Verdana" w:hAnsi="Verdana" w:eastAsia="Calibri" w:cs="Times New Roman"/>
          <w:i/>
          <w:iCs/>
          <w:kern w:val="0"/>
          <w:sz w:val="16"/>
          <w:szCs w:val="16"/>
          <w:lang w:eastAsia="it-IT" w:bidi="ar-SA"/>
        </w:rPr>
        <w:t xml:space="preserve">(Consigliere Suprema Corte di Cassazione) - </w:t>
      </w:r>
      <w:r>
        <w:rPr>
          <w:rFonts w:ascii="Verdana" w:hAnsi="Verdana" w:eastAsia="Calibri" w:cs="Times New Roman"/>
          <w:i/>
          <w:kern w:val="0"/>
          <w:sz w:val="16"/>
          <w:szCs w:val="16"/>
          <w:lang w:eastAsia="it-IT" w:bidi="ar-SA"/>
        </w:rPr>
        <w:t xml:space="preserve"> Francesco </w:t>
      </w:r>
      <w:r>
        <w:rPr>
          <w:rFonts w:ascii="Verdana" w:hAnsi="Verdana" w:eastAsia="Calibri" w:cs="Times New Roman"/>
          <w:b/>
          <w:i/>
          <w:kern w:val="0"/>
          <w:sz w:val="16"/>
          <w:szCs w:val="16"/>
          <w:lang w:eastAsia="it-IT" w:bidi="ar-SA"/>
        </w:rPr>
        <w:t xml:space="preserve">ELEFANTE </w:t>
      </w:r>
      <w:r>
        <w:rPr>
          <w:rFonts w:ascii="Verdana" w:hAnsi="Verdana" w:eastAsia="Calibri" w:cs="Times New Roman"/>
          <w:i/>
          <w:kern w:val="0"/>
          <w:sz w:val="16"/>
          <w:szCs w:val="16"/>
          <w:lang w:eastAsia="it-IT" w:bidi="ar-SA"/>
        </w:rPr>
        <w:t xml:space="preserve">(Magistrato T.A.R.) - Annamaria </w:t>
      </w:r>
      <w:r>
        <w:rPr>
          <w:rFonts w:ascii="Verdana" w:hAnsi="Verdana" w:eastAsia="Calibri" w:cs="Times New Roman"/>
          <w:b/>
          <w:i/>
          <w:kern w:val="0"/>
          <w:sz w:val="16"/>
          <w:szCs w:val="16"/>
          <w:lang w:eastAsia="it-IT" w:bidi="ar-SA"/>
        </w:rPr>
        <w:t>FASANO</w:t>
      </w:r>
      <w:r>
        <w:rPr>
          <w:rFonts w:ascii="Verdana" w:hAnsi="Verdana" w:eastAsia="Calibri" w:cs="Times New Roman"/>
          <w:i/>
          <w:kern w:val="0"/>
          <w:sz w:val="16"/>
          <w:szCs w:val="16"/>
          <w:lang w:eastAsia="it-IT" w:bidi="ar-SA"/>
        </w:rPr>
        <w:t xml:space="preserve"> (Consigliere di Stato) -  Cosimo </w:t>
      </w:r>
      <w:r>
        <w:rPr>
          <w:rFonts w:ascii="Verdana" w:hAnsi="Verdana" w:eastAsia="Calibri" w:cs="Times New Roman"/>
          <w:b/>
          <w:i/>
          <w:kern w:val="0"/>
          <w:sz w:val="16"/>
          <w:szCs w:val="16"/>
          <w:lang w:eastAsia="it-IT" w:bidi="ar-SA"/>
        </w:rPr>
        <w:t>FERRI</w:t>
      </w:r>
      <w:r>
        <w:rPr>
          <w:rFonts w:ascii="Verdana" w:hAnsi="Verdana" w:eastAsia="Calibri" w:cs="Times New Roman"/>
          <w:i/>
          <w:kern w:val="0"/>
          <w:sz w:val="16"/>
          <w:szCs w:val="16"/>
          <w:lang w:eastAsia="it-IT" w:bidi="ar-SA"/>
        </w:rPr>
        <w:t xml:space="preserve"> (Magistrato, già Sottosegretario di Stato alla Giustizia) – Francesco </w:t>
      </w:r>
      <w:r>
        <w:rPr>
          <w:rFonts w:ascii="Verdana" w:hAnsi="Verdana" w:eastAsia="Calibri" w:cs="Times New Roman"/>
          <w:b/>
          <w:i/>
          <w:kern w:val="0"/>
          <w:sz w:val="16"/>
          <w:szCs w:val="16"/>
          <w:lang w:eastAsia="it-IT" w:bidi="ar-SA"/>
        </w:rPr>
        <w:t>FIMMANO’</w:t>
      </w:r>
      <w:r>
        <w:rPr>
          <w:rFonts w:ascii="Verdana" w:hAnsi="Verdana" w:eastAsia="Calibri" w:cs="Times New Roman"/>
          <w:i/>
          <w:kern w:val="0"/>
          <w:sz w:val="16"/>
          <w:szCs w:val="16"/>
          <w:lang w:eastAsia="it-IT" w:bidi="ar-SA"/>
        </w:rPr>
        <w:t xml:space="preserve"> (Professore ordinario di diritto commerciale, Preside Facoltà Giurisprudenza) - Eugenio </w:t>
      </w:r>
      <w:r>
        <w:rPr>
          <w:rFonts w:ascii="Verdana" w:hAnsi="Verdana" w:eastAsia="Calibri" w:cs="Times New Roman"/>
          <w:b/>
          <w:i/>
          <w:kern w:val="0"/>
          <w:sz w:val="16"/>
          <w:szCs w:val="16"/>
          <w:lang w:eastAsia="it-IT" w:bidi="ar-SA"/>
        </w:rPr>
        <w:t>FORGILLO</w:t>
      </w:r>
      <w:r>
        <w:rPr>
          <w:rFonts w:ascii="Verdana" w:hAnsi="Verdana" w:eastAsia="Calibri" w:cs="Times New Roman"/>
          <w:i/>
          <w:kern w:val="0"/>
          <w:sz w:val="16"/>
          <w:szCs w:val="16"/>
          <w:lang w:eastAsia="it-IT" w:bidi="ar-SA"/>
        </w:rPr>
        <w:t xml:space="preserve"> (Presidente di Tribunale) – Andrea </w:t>
      </w:r>
      <w:r>
        <w:rPr>
          <w:rFonts w:ascii="Verdana" w:hAnsi="Verdana" w:eastAsia="Calibri" w:cs="Times New Roman"/>
          <w:b/>
          <w:i/>
          <w:kern w:val="0"/>
          <w:sz w:val="16"/>
          <w:szCs w:val="16"/>
          <w:lang w:eastAsia="it-IT" w:bidi="ar-SA"/>
        </w:rPr>
        <w:t>GIORDANO</w:t>
      </w:r>
      <w:r>
        <w:rPr>
          <w:rFonts w:ascii="Verdana" w:hAnsi="Verdana" w:eastAsia="Calibri" w:cs="Times New Roman"/>
          <w:i/>
          <w:kern w:val="0"/>
          <w:sz w:val="16"/>
          <w:szCs w:val="16"/>
          <w:lang w:eastAsia="it-IT" w:bidi="ar-SA"/>
        </w:rPr>
        <w:t xml:space="preserve"> (Magistrato della Corte dei Conti) – Mariacarla </w:t>
      </w:r>
      <w:r>
        <w:rPr>
          <w:rFonts w:ascii="Verdana" w:hAnsi="Verdana" w:eastAsia="Calibri" w:cs="Times New Roman"/>
          <w:b/>
          <w:i/>
          <w:kern w:val="0"/>
          <w:sz w:val="16"/>
          <w:szCs w:val="16"/>
          <w:lang w:eastAsia="it-IT" w:bidi="ar-SA"/>
        </w:rPr>
        <w:t>GIORGETTI</w:t>
      </w:r>
      <w:r>
        <w:rPr>
          <w:rFonts w:ascii="Verdana" w:hAnsi="Verdana" w:eastAsia="Calibri" w:cs="Times New Roman"/>
          <w:i/>
          <w:kern w:val="0"/>
          <w:sz w:val="16"/>
          <w:szCs w:val="16"/>
          <w:lang w:eastAsia="it-IT" w:bidi="ar-SA"/>
        </w:rPr>
        <w:t xml:space="preserve"> (Professore ordinario di diritto processuale civile) - Giusi </w:t>
      </w:r>
      <w:r>
        <w:rPr>
          <w:rFonts w:ascii="Verdana" w:hAnsi="Verdana" w:eastAsia="Calibri" w:cs="Times New Roman"/>
          <w:b/>
          <w:i/>
          <w:kern w:val="0"/>
          <w:sz w:val="16"/>
          <w:szCs w:val="16"/>
          <w:lang w:eastAsia="it-IT" w:bidi="ar-SA"/>
        </w:rPr>
        <w:t xml:space="preserve">IANNI </w:t>
      </w:r>
      <w:r>
        <w:rPr>
          <w:rFonts w:ascii="Verdana" w:hAnsi="Verdana" w:eastAsia="Calibri" w:cs="Times New Roman"/>
          <w:i/>
          <w:kern w:val="0"/>
          <w:sz w:val="16"/>
          <w:szCs w:val="16"/>
          <w:lang w:eastAsia="it-IT" w:bidi="ar-SA"/>
        </w:rPr>
        <w:t xml:space="preserve">(Magistrato) - Francesco </w:t>
      </w:r>
      <w:r>
        <w:rPr>
          <w:rFonts w:ascii="Verdana" w:hAnsi="Verdana" w:eastAsia="Calibri" w:cs="Times New Roman"/>
          <w:b/>
          <w:i/>
          <w:kern w:val="0"/>
          <w:sz w:val="16"/>
          <w:szCs w:val="16"/>
          <w:lang w:eastAsia="it-IT" w:bidi="ar-SA"/>
        </w:rPr>
        <w:t>LUPIA</w:t>
      </w:r>
      <w:r>
        <w:rPr>
          <w:rFonts w:ascii="Verdana" w:hAnsi="Verdana" w:eastAsia="Calibri" w:cs="Times New Roman"/>
          <w:i/>
          <w:kern w:val="0"/>
          <w:sz w:val="16"/>
          <w:szCs w:val="16"/>
          <w:lang w:eastAsia="it-IT" w:bidi="ar-SA"/>
        </w:rPr>
        <w:t xml:space="preserve"> (Magistrato) - Giuseppe </w:t>
      </w:r>
      <w:r>
        <w:rPr>
          <w:rFonts w:ascii="Verdana" w:hAnsi="Verdana" w:eastAsia="Calibri" w:cs="Times New Roman"/>
          <w:b/>
          <w:i/>
          <w:kern w:val="0"/>
          <w:sz w:val="16"/>
          <w:szCs w:val="16"/>
          <w:lang w:eastAsia="it-IT" w:bidi="ar-SA"/>
        </w:rPr>
        <w:t>MARSEGLIA</w:t>
      </w:r>
      <w:r>
        <w:rPr>
          <w:rFonts w:ascii="Verdana" w:hAnsi="Verdana" w:eastAsia="Calibri" w:cs="Times New Roman"/>
          <w:i/>
          <w:kern w:val="0"/>
          <w:sz w:val="16"/>
          <w:szCs w:val="16"/>
          <w:lang w:eastAsia="it-IT" w:bidi="ar-SA"/>
        </w:rPr>
        <w:t xml:space="preserve"> (Magistrato) – Roberto </w:t>
      </w:r>
      <w:r>
        <w:rPr>
          <w:rFonts w:ascii="Verdana" w:hAnsi="Verdana" w:eastAsia="Calibri" w:cs="Times New Roman"/>
          <w:b/>
          <w:i/>
          <w:kern w:val="0"/>
          <w:sz w:val="16"/>
          <w:szCs w:val="16"/>
          <w:lang w:eastAsia="it-IT" w:bidi="ar-SA"/>
        </w:rPr>
        <w:t xml:space="preserve">MARTINO </w:t>
      </w:r>
      <w:r>
        <w:rPr>
          <w:rFonts w:ascii="Verdana" w:hAnsi="Verdana" w:eastAsia="Calibri" w:cs="Times New Roman"/>
          <w:i/>
          <w:kern w:val="0"/>
          <w:sz w:val="16"/>
          <w:szCs w:val="16"/>
          <w:lang w:eastAsia="it-IT" w:bidi="ar-SA"/>
        </w:rPr>
        <w:t xml:space="preserve">(Professore ordinario di diritto processuale civile, Preside Facoltà Giurisprudenza) – Francesca </w:t>
      </w:r>
      <w:r>
        <w:rPr>
          <w:rFonts w:ascii="Verdana" w:hAnsi="Verdana" w:eastAsia="Calibri" w:cs="Times New Roman"/>
          <w:b/>
          <w:i/>
          <w:kern w:val="0"/>
          <w:sz w:val="16"/>
          <w:szCs w:val="16"/>
          <w:lang w:eastAsia="it-IT" w:bidi="ar-SA"/>
        </w:rPr>
        <w:t>PROIETTI</w:t>
      </w:r>
      <w:r>
        <w:rPr>
          <w:rFonts w:ascii="Verdana" w:hAnsi="Verdana" w:eastAsia="Calibri" w:cs="Times New Roman"/>
          <w:i/>
          <w:kern w:val="0"/>
          <w:sz w:val="16"/>
          <w:szCs w:val="16"/>
          <w:lang w:eastAsia="it-IT" w:bidi="ar-SA"/>
        </w:rPr>
        <w:t xml:space="preserve"> (Magistrato) – Serafino </w:t>
      </w:r>
      <w:r>
        <w:rPr>
          <w:rFonts w:ascii="Verdana" w:hAnsi="Verdana" w:eastAsia="Calibri" w:cs="Times New Roman"/>
          <w:b/>
          <w:i/>
          <w:kern w:val="0"/>
          <w:sz w:val="16"/>
          <w:szCs w:val="16"/>
          <w:lang w:eastAsia="it-IT" w:bidi="ar-SA"/>
        </w:rPr>
        <w:t>RUSCICA</w:t>
      </w:r>
      <w:r>
        <w:rPr>
          <w:rFonts w:ascii="Verdana" w:hAnsi="Verdana" w:eastAsia="Calibri" w:cs="Times New Roman"/>
          <w:i/>
          <w:kern w:val="0"/>
          <w:sz w:val="16"/>
          <w:szCs w:val="16"/>
          <w:lang w:eastAsia="it-IT" w:bidi="ar-SA"/>
        </w:rPr>
        <w:t xml:space="preserve"> (Consigliere parlamentare presso il Senato della Repubblica) - Piero </w:t>
      </w:r>
      <w:r>
        <w:rPr>
          <w:rFonts w:ascii="Verdana" w:hAnsi="Verdana" w:eastAsia="Calibri" w:cs="Times New Roman"/>
          <w:b/>
          <w:i/>
          <w:kern w:val="0"/>
          <w:sz w:val="16"/>
          <w:szCs w:val="16"/>
          <w:lang w:eastAsia="it-IT" w:bidi="ar-SA"/>
        </w:rPr>
        <w:t xml:space="preserve">SANDULLI </w:t>
      </w:r>
      <w:r>
        <w:rPr>
          <w:rFonts w:ascii="Verdana" w:hAnsi="Verdana" w:eastAsia="Calibri" w:cs="Times New Roman"/>
          <w:i/>
          <w:kern w:val="0"/>
          <w:sz w:val="16"/>
          <w:szCs w:val="16"/>
          <w:lang w:eastAsia="it-IT" w:bidi="ar-SA"/>
        </w:rPr>
        <w:t xml:space="preserve">(Professore ordinario di diritto processuale civile) - Stefano </w:t>
      </w:r>
      <w:r>
        <w:rPr>
          <w:rFonts w:ascii="Verdana" w:hAnsi="Verdana" w:eastAsia="Calibri" w:cs="Times New Roman"/>
          <w:b/>
          <w:i/>
          <w:kern w:val="0"/>
          <w:sz w:val="16"/>
          <w:szCs w:val="16"/>
          <w:lang w:eastAsia="it-IT" w:bidi="ar-SA"/>
        </w:rPr>
        <w:t xml:space="preserve">SCHIRO’ </w:t>
      </w:r>
      <w:r>
        <w:rPr>
          <w:rFonts w:ascii="Verdana" w:hAnsi="Verdana" w:eastAsia="Calibri" w:cs="Times New Roman"/>
          <w:i/>
          <w:kern w:val="0"/>
          <w:sz w:val="16"/>
          <w:szCs w:val="16"/>
          <w:lang w:eastAsia="it-IT" w:bidi="ar-SA"/>
        </w:rPr>
        <w:t xml:space="preserve">(Presidente del Tribunale Superiore delle Acque pubbliche) - Bruno </w:t>
      </w:r>
      <w:r>
        <w:rPr>
          <w:rFonts w:ascii="Verdana" w:hAnsi="Verdana" w:eastAsia="Calibri" w:cs="Times New Roman"/>
          <w:b/>
          <w:i/>
          <w:kern w:val="0"/>
          <w:sz w:val="16"/>
          <w:szCs w:val="16"/>
          <w:lang w:eastAsia="it-IT" w:bidi="ar-SA"/>
        </w:rPr>
        <w:t>SPAGNA MUSSO</w:t>
      </w:r>
      <w:r>
        <w:rPr>
          <w:rFonts w:ascii="Verdana" w:hAnsi="Verdana" w:eastAsia="Calibri" w:cs="Times New Roman"/>
          <w:i/>
          <w:kern w:val="0"/>
          <w:sz w:val="16"/>
          <w:szCs w:val="16"/>
          <w:lang w:eastAsia="it-IT" w:bidi="ar-SA"/>
        </w:rPr>
        <w:t xml:space="preserve"> (già Consigliere di Cassazione ed  assistente di studio alla Corte Costituzionale) - Paolo </w:t>
      </w:r>
      <w:r>
        <w:rPr>
          <w:rFonts w:ascii="Verdana" w:hAnsi="Verdana" w:eastAsia="Calibri" w:cs="Times New Roman"/>
          <w:b/>
          <w:i/>
          <w:kern w:val="0"/>
          <w:sz w:val="16"/>
          <w:szCs w:val="16"/>
          <w:lang w:eastAsia="it-IT" w:bidi="ar-SA"/>
        </w:rPr>
        <w:t>SPAZIANI</w:t>
      </w:r>
      <w:r>
        <w:rPr>
          <w:rFonts w:ascii="Verdana" w:hAnsi="Verdana" w:eastAsia="Calibri" w:cs="Times New Roman"/>
          <w:i/>
          <w:kern w:val="0"/>
          <w:sz w:val="16"/>
          <w:szCs w:val="16"/>
          <w:lang w:eastAsia="it-IT" w:bidi="ar-SA"/>
        </w:rPr>
        <w:t xml:space="preserve"> (Magistrato dell’Ufficio del Massimario della Corte Suprema di Cassazione) – Antonella </w:t>
      </w:r>
      <w:r>
        <w:rPr>
          <w:rFonts w:ascii="Verdana" w:hAnsi="Verdana" w:eastAsia="Calibri" w:cs="Times New Roman"/>
          <w:b/>
          <w:i/>
          <w:kern w:val="0"/>
          <w:sz w:val="16"/>
          <w:szCs w:val="16"/>
          <w:lang w:eastAsia="it-IT" w:bidi="ar-SA"/>
        </w:rPr>
        <w:t>STILO</w:t>
      </w:r>
      <w:r>
        <w:rPr>
          <w:rFonts w:ascii="Verdana" w:hAnsi="Verdana" w:eastAsia="Calibri" w:cs="Times New Roman"/>
          <w:i/>
          <w:kern w:val="0"/>
          <w:sz w:val="16"/>
          <w:szCs w:val="16"/>
          <w:lang w:eastAsia="it-IT" w:bidi="ar-SA"/>
        </w:rPr>
        <w:t xml:space="preserve"> (Magistrato, Presidente di sezione) – Antonio </w:t>
      </w:r>
      <w:r>
        <w:rPr>
          <w:rFonts w:ascii="Verdana" w:hAnsi="Verdana" w:eastAsia="Calibri" w:cs="Times New Roman"/>
          <w:b/>
          <w:i/>
          <w:kern w:val="0"/>
          <w:sz w:val="16"/>
          <w:szCs w:val="16"/>
          <w:lang w:eastAsia="it-IT" w:bidi="ar-SA"/>
        </w:rPr>
        <w:t xml:space="preserve">URICCHIO </w:t>
      </w:r>
      <w:r>
        <w:rPr>
          <w:rFonts w:ascii="Verdana" w:hAnsi="Verdana" w:eastAsia="Calibri" w:cs="Times New Roman"/>
          <w:i/>
          <w:kern w:val="0"/>
          <w:sz w:val="16"/>
          <w:szCs w:val="16"/>
          <w:lang w:eastAsia="it-IT" w:bidi="ar-SA"/>
        </w:rPr>
        <w:t xml:space="preserve">(Professore ordinario di diritto tributario, già Magnifico Rettore, Presidente Anvur) - Antonio </w:t>
      </w:r>
      <w:r>
        <w:rPr>
          <w:rFonts w:ascii="Verdana" w:hAnsi="Verdana" w:eastAsia="Calibri" w:cs="Times New Roman"/>
          <w:b/>
          <w:i/>
          <w:kern w:val="0"/>
          <w:sz w:val="16"/>
          <w:szCs w:val="16"/>
          <w:lang w:eastAsia="it-IT" w:bidi="ar-SA"/>
        </w:rPr>
        <w:t xml:space="preserve">VALITUTTI </w:t>
      </w:r>
      <w:r>
        <w:rPr>
          <w:rFonts w:ascii="Verdana" w:hAnsi="Verdana" w:eastAsia="Calibri" w:cs="Times New Roman"/>
          <w:i/>
          <w:kern w:val="0"/>
          <w:sz w:val="16"/>
          <w:szCs w:val="16"/>
          <w:lang w:eastAsia="it-IT" w:bidi="ar-SA"/>
        </w:rPr>
        <w:t xml:space="preserve">(Presidente di Sezione presso la  Suprema Corte di Cassazione) - Alessio </w:t>
      </w:r>
      <w:r>
        <w:rPr>
          <w:rFonts w:ascii="Verdana" w:hAnsi="Verdana" w:eastAsia="Calibri" w:cs="Times New Roman"/>
          <w:b/>
          <w:i/>
          <w:kern w:val="0"/>
          <w:sz w:val="16"/>
          <w:szCs w:val="16"/>
          <w:lang w:eastAsia="it-IT" w:bidi="ar-SA"/>
        </w:rPr>
        <w:t>ZACCARIA</w:t>
      </w:r>
      <w:r>
        <w:rPr>
          <w:rFonts w:ascii="Verdana" w:hAnsi="Verdana" w:eastAsia="Calibri" w:cs="Times New Roman"/>
          <w:i/>
          <w:kern w:val="0"/>
          <w:sz w:val="16"/>
          <w:szCs w:val="16"/>
          <w:lang w:eastAsia="it-IT" w:bidi="ar-SA"/>
        </w:rPr>
        <w:t xml:space="preserve"> (Professore ordinario di diritto privato, già componente laico C.S.M.).</w:t>
      </w:r>
    </w:p>
    <w:p>
      <w:pPr>
        <w:widowControl/>
        <w:pBdr>
          <w:bottom w:val="single" w:color="000000" w:sz="6" w:space="1"/>
        </w:pBdr>
        <w:suppressAutoHyphens w:val="0"/>
        <w:autoSpaceDN w:val="0"/>
        <w:spacing w:line="276" w:lineRule="auto"/>
        <w:ind w:left="142" w:right="-1"/>
        <w:rPr>
          <w:rFonts w:ascii="Verdana" w:hAnsi="Verdana" w:eastAsia="Calibri" w:cs="Times New Roman"/>
          <w:i/>
          <w:kern w:val="0"/>
          <w:sz w:val="16"/>
          <w:szCs w:val="16"/>
          <w:lang w:eastAsia="it-IT" w:bidi="ar-SA"/>
        </w:rPr>
      </w:pPr>
      <w:r>
        <w:rPr>
          <w:rFonts w:ascii="Verdana" w:hAnsi="Verdana" w:eastAsia="Times New Roman" w:cs="Times New Roman"/>
          <w:bCs/>
          <w:kern w:val="0"/>
          <w:lang w:eastAsia="it-IT" w:bidi="ar-SA"/>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146050</wp:posOffset>
                </wp:positionV>
                <wp:extent cx="6162675" cy="0"/>
                <wp:effectExtent l="0" t="28575" r="9525" b="28575"/>
                <wp:wrapNone/>
                <wp:docPr id="1" name="AutoShape 2"/>
                <wp:cNvGraphicFramePr/>
                <a:graphic xmlns:a="http://schemas.openxmlformats.org/drawingml/2006/main">
                  <a:graphicData uri="http://schemas.microsoft.com/office/word/2010/wordprocessingShape">
                    <wps:wsp>
                      <wps:cNvCnPr/>
                      <wps:spPr>
                        <a:xfrm>
                          <a:off x="0" y="0"/>
                          <a:ext cx="6162675" cy="0"/>
                        </a:xfrm>
                        <a:prstGeom prst="straightConnector1">
                          <a:avLst/>
                        </a:prstGeom>
                        <a:ln w="57150" cap="flat" cmpd="sng">
                          <a:solidFill>
                            <a:srgbClr val="00B050"/>
                          </a:solidFill>
                          <a:prstDash val="solid"/>
                          <a:headEnd type="none" w="med" len="med"/>
                          <a:tailEnd type="none" w="med" len="med"/>
                        </a:ln>
                        <a:effectLst/>
                      </wps:spPr>
                      <wps:bodyPr/>
                    </wps:wsp>
                  </a:graphicData>
                </a:graphic>
              </wp:anchor>
            </w:drawing>
          </mc:Choice>
          <mc:Fallback>
            <w:pict>
              <v:shape id="AutoShape 2" o:spid="_x0000_s1026" o:spt="32" type="#_x0000_t32" style="position:absolute;left:0pt;margin-left:1.8pt;margin-top:11.5pt;height:0pt;width:485.25pt;z-index:251659264;mso-width-relative:page;mso-height-relative:page;" filled="f" stroked="t" coordsize="21600,21600" o:gfxdata="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EepMzXAAAA&#10;BwEAAA8AAAAAAAAAAQAgAAAAIgAAAGRycy9kb3ducmV2LnhtbFBLAQIUABQAAAAIAIdO4kA8PmFC&#10;5QEAAO8DAAAOAAAAAAAAAAEAIAAAACYBAABkcnMvZTJvRG9jLnhtbFBLBQYAAAAABgAGAFkBAAB9&#10;BQAAAAA=&#10;">
                <v:fill on="f" focussize="0,0"/>
                <v:stroke weight="4.5pt" color="#00B050" joinstyle="round"/>
                <v:imagedata o:title=""/>
                <o:lock v:ext="edit" aspectratio="f"/>
              </v:shape>
            </w:pict>
          </mc:Fallback>
        </mc:AlternateContent>
      </w:r>
    </w:p>
    <w:p>
      <w:pPr>
        <w:widowControl/>
        <w:suppressAutoHyphens w:val="0"/>
        <w:rPr>
          <w:rFonts w:eastAsia="Times New Roman" w:cs="Times New Roman"/>
          <w:kern w:val="0"/>
          <w:lang w:eastAsia="it-IT" w:bidi="ar-SA"/>
        </w:rPr>
      </w:pPr>
      <w:r>
        <w:rPr>
          <w:rFonts w:eastAsia="Times New Roman" w:cs="Times New Roman"/>
          <w:kern w:val="0"/>
          <w:lang w:eastAsia="it-IT" w:bidi="ar-SA"/>
        </w:rPr>
        <mc:AlternateContent>
          <mc:Choice Requires="wps">
            <w:drawing>
              <wp:anchor distT="0" distB="0" distL="114300" distR="114300" simplePos="0" relativeHeight="251660288" behindDoc="0" locked="0" layoutInCell="1" allowOverlap="1">
                <wp:simplePos x="0" y="0"/>
                <wp:positionH relativeFrom="column">
                  <wp:posOffset>22860</wp:posOffset>
                </wp:positionH>
                <wp:positionV relativeFrom="paragraph">
                  <wp:posOffset>107950</wp:posOffset>
                </wp:positionV>
                <wp:extent cx="6162675" cy="0"/>
                <wp:effectExtent l="0" t="28575" r="9525" b="28575"/>
                <wp:wrapNone/>
                <wp:docPr id="2" name="AutoShape 3"/>
                <wp:cNvGraphicFramePr/>
                <a:graphic xmlns:a="http://schemas.openxmlformats.org/drawingml/2006/main">
                  <a:graphicData uri="http://schemas.microsoft.com/office/word/2010/wordprocessingShape">
                    <wps:wsp>
                      <wps:cNvCnPr/>
                      <wps:spPr>
                        <a:xfrm>
                          <a:off x="0" y="0"/>
                          <a:ext cx="6162675" cy="0"/>
                        </a:xfrm>
                        <a:prstGeom prst="straightConnector1">
                          <a:avLst/>
                        </a:prstGeom>
                        <a:ln w="57150" cap="flat" cmpd="sng">
                          <a:solidFill>
                            <a:srgbClr val="FF0000"/>
                          </a:solidFill>
                          <a:prstDash val="solid"/>
                          <a:headEnd type="none" w="med" len="med"/>
                          <a:tailEnd type="none" w="med" len="med"/>
                        </a:ln>
                        <a:effectLst/>
                      </wps:spPr>
                      <wps:bodyPr/>
                    </wps:wsp>
                  </a:graphicData>
                </a:graphic>
              </wp:anchor>
            </w:drawing>
          </mc:Choice>
          <mc:Fallback>
            <w:pict>
              <v:shape id="AutoShape 3" o:spid="_x0000_s1026" o:spt="32" type="#_x0000_t32" style="position:absolute;left:0pt;margin-left:1.8pt;margin-top:8.5pt;height:0pt;width:485.25pt;z-index:251660288;mso-width-relative:page;mso-height-relative:page;" filled="f" stroked="t" coordsize="21600,21600" o:gfxdata="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pAq0g9QAAAAH&#10;AQAADwAAAAAAAAABACAAAAAiAAAAZHJzL2Rvd25yZXYueG1sUEsBAhQAFAAAAAgAh07iQIEhSQDn&#10;AQAA7wMAAA4AAAAAAAAAAQAgAAAAIwEAAGRycy9lMm9Eb2MueG1sUEsFBgAAAAAGAAYAWQEAAHwF&#10;AAAAAA==&#10;">
                <v:fill on="f" focussize="0,0"/>
                <v:stroke weight="4.5pt" color="#FF0000" joinstyle="round"/>
                <v:imagedata o:title=""/>
                <o:lock v:ext="edit" aspectratio="f"/>
              </v:shape>
            </w:pict>
          </mc:Fallback>
        </mc:AlternateContent>
      </w:r>
    </w:p>
    <w:p>
      <w:pPr>
        <w:widowControl/>
        <w:suppressAutoHyphens w:val="0"/>
        <w:jc w:val="center"/>
        <w:rPr>
          <w:rFonts w:ascii="Verdana" w:hAnsi="Verdana" w:eastAsia="Times New Roman" w:cs="Times New Roman"/>
          <w:b/>
          <w:bCs/>
          <w:kern w:val="0"/>
          <w:sz w:val="16"/>
          <w:szCs w:val="16"/>
          <w:lang w:eastAsia="it-IT" w:bidi="ar-SA"/>
        </w:rPr>
      </w:pPr>
    </w:p>
    <w:p>
      <w:pPr>
        <w:rPr>
          <w:rFonts w:ascii="Verdana" w:hAnsi="Verdana" w:cs="Verdana"/>
          <w:b/>
          <w:bCs/>
          <w:sz w:val="20"/>
          <w:szCs w:val="20"/>
        </w:rPr>
      </w:pPr>
    </w:p>
    <w:p>
      <w:pPr>
        <w:jc w:val="center"/>
        <w:rPr>
          <w:rFonts w:ascii="Verdana" w:hAnsi="Verdana" w:cs="Verdana"/>
          <w:b/>
          <w:bCs/>
          <w:sz w:val="20"/>
          <w:szCs w:val="20"/>
        </w:rPr>
      </w:pPr>
      <w:r>
        <w:rPr>
          <w:rFonts w:ascii="Verdana" w:hAnsi="Verdana" w:cs="Verdana"/>
          <w:b/>
          <w:bCs/>
          <w:sz w:val="20"/>
          <w:szCs w:val="20"/>
        </w:rPr>
        <w:t>Fatto e Diritto con un approccio giurimetrico</w:t>
      </w:r>
      <w:r>
        <w:rPr>
          <w:rStyle w:val="13"/>
          <w:rFonts w:ascii="Verdana" w:hAnsi="Verdana" w:cs="Verdana"/>
          <w:b/>
          <w:bCs/>
          <w:sz w:val="20"/>
          <w:szCs w:val="20"/>
        </w:rPr>
        <w:footnoteReference w:id="0"/>
      </w:r>
    </w:p>
    <w:p>
      <w:pPr>
        <w:jc w:val="center"/>
        <w:rPr>
          <w:rFonts w:ascii="Verdana" w:hAnsi="Verdana" w:cs="Verdana"/>
          <w:i/>
          <w:iCs/>
          <w:sz w:val="20"/>
          <w:szCs w:val="20"/>
        </w:rPr>
      </w:pPr>
    </w:p>
    <w:p>
      <w:pPr>
        <w:jc w:val="center"/>
        <w:rPr>
          <w:rFonts w:ascii="Verdana" w:hAnsi="Verdana" w:cs="Verdana"/>
          <w:i/>
          <w:iCs/>
          <w:sz w:val="20"/>
          <w:szCs w:val="20"/>
        </w:rPr>
      </w:pPr>
    </w:p>
    <w:p>
      <w:pPr>
        <w:jc w:val="center"/>
        <w:rPr>
          <w:rFonts w:ascii="Verdana" w:hAnsi="Verdana" w:cs="Verdana"/>
          <w:b/>
          <w:bCs/>
          <w:sz w:val="20"/>
          <w:szCs w:val="20"/>
        </w:rPr>
      </w:pPr>
      <w:r>
        <w:rPr>
          <w:rFonts w:ascii="Verdana" w:hAnsi="Verdana" w:cs="Verdana"/>
          <w:i/>
          <w:iCs/>
          <w:sz w:val="20"/>
          <w:szCs w:val="20"/>
        </w:rPr>
        <w:t>Articolo di</w:t>
      </w:r>
      <w:r>
        <w:rPr>
          <w:rFonts w:ascii="Verdana" w:hAnsi="Verdana" w:cs="Verdana"/>
          <w:b/>
          <w:bCs/>
          <w:sz w:val="20"/>
          <w:szCs w:val="20"/>
        </w:rPr>
        <w:t xml:space="preserve"> Luigi VIOLA</w:t>
      </w:r>
    </w:p>
    <w:p>
      <w:pPr>
        <w:rPr>
          <w:rFonts w:ascii="Verdana" w:hAnsi="Verdana" w:cs="Verdana"/>
          <w:b/>
          <w:bCs/>
          <w:sz w:val="20"/>
          <w:szCs w:val="20"/>
        </w:rPr>
      </w:pPr>
    </w:p>
    <w:p>
      <w:pPr>
        <w:rPr>
          <w:rFonts w:ascii="Verdana" w:hAnsi="Verdana" w:cs="Verdana"/>
          <w:b/>
          <w:bCs/>
          <w:sz w:val="20"/>
          <w:szCs w:val="20"/>
        </w:rPr>
      </w:pPr>
    </w:p>
    <w:p>
      <w:pPr>
        <w:rPr>
          <w:rFonts w:ascii="Verdana" w:hAnsi="Verdana" w:cs="Verdana"/>
          <w:b/>
          <w:bCs/>
          <w:sz w:val="20"/>
          <w:szCs w:val="20"/>
        </w:rPr>
      </w:pPr>
      <w:bookmarkStart w:id="9" w:name="_GoBack"/>
      <w:bookmarkEnd w:id="9"/>
    </w:p>
    <w:p>
      <w:pPr>
        <w:rPr>
          <w:rFonts w:ascii="Verdana" w:hAnsi="Verdana" w:cs="Verdana"/>
          <w:b/>
          <w:bCs/>
          <w:sz w:val="20"/>
          <w:szCs w:val="20"/>
        </w:rPr>
      </w:pPr>
    </w:p>
    <w:p>
      <w:pPr>
        <w:numPr>
          <w:ilvl w:val="0"/>
          <w:numId w:val="2"/>
        </w:numPr>
        <w:jc w:val="both"/>
        <w:rPr>
          <w:rFonts w:ascii="Verdana" w:hAnsi="Verdana"/>
          <w:i/>
          <w:iCs/>
          <w:sz w:val="11"/>
          <w:szCs w:val="11"/>
        </w:rPr>
      </w:pPr>
      <w:r>
        <w:rPr>
          <w:rFonts w:ascii="Verdana" w:hAnsi="Verdana"/>
          <w:i/>
          <w:iCs/>
          <w:sz w:val="11"/>
          <w:szCs w:val="11"/>
        </w:rPr>
        <w:t>Introduzione 2. Come calcolare il fatto 2.1. Un esempio 2.2. Il criterio del più probabile che non e presunzione semplice 2.3. La recente giurisprudenza sulla maggiore idoneità rappresentativa 3. Come calcolare il diritto  3.1. La formula per interpretare la legge 3.2. Applicazione su sentenza nomofilattica 4. Conclusioni</w:t>
      </w:r>
    </w:p>
    <w:p>
      <w:pPr>
        <w:rPr>
          <w:rFonts w:ascii="Verdana" w:hAnsi="Verdana"/>
          <w:b/>
          <w:bCs/>
          <w:sz w:val="20"/>
          <w:szCs w:val="20"/>
        </w:rPr>
      </w:pPr>
    </w:p>
    <w:p>
      <w:pPr>
        <w:rPr>
          <w:rFonts w:ascii="Verdana" w:hAnsi="Verdana"/>
          <w:b/>
          <w:bCs/>
          <w:sz w:val="20"/>
          <w:szCs w:val="20"/>
        </w:rPr>
      </w:pPr>
    </w:p>
    <w:p>
      <w:pPr>
        <w:rPr>
          <w:rFonts w:ascii="Verdana" w:hAnsi="Verdana"/>
          <w:b/>
          <w:bCs/>
          <w:sz w:val="20"/>
          <w:szCs w:val="20"/>
        </w:rPr>
      </w:pPr>
    </w:p>
    <w:p>
      <w:pPr>
        <w:rPr>
          <w:rFonts w:ascii="Verdana" w:hAnsi="Verdana"/>
          <w:b/>
          <w:bCs/>
          <w:sz w:val="20"/>
          <w:szCs w:val="20"/>
        </w:rPr>
      </w:pPr>
    </w:p>
    <w:p>
      <w:pPr>
        <w:rPr>
          <w:rFonts w:ascii="Verdana" w:hAnsi="Verdana"/>
          <w:b/>
          <w:bCs/>
          <w:sz w:val="20"/>
          <w:szCs w:val="20"/>
        </w:rPr>
      </w:pPr>
    </w:p>
    <w:p>
      <w:pPr>
        <w:rPr>
          <w:rFonts w:ascii="Verdana" w:hAnsi="Verdana"/>
          <w:b/>
          <w:bCs/>
          <w:sz w:val="20"/>
          <w:szCs w:val="20"/>
        </w:rPr>
      </w:pPr>
    </w:p>
    <w:p>
      <w:pPr>
        <w:rPr>
          <w:rFonts w:ascii="Verdana" w:hAnsi="Verdana"/>
          <w:b/>
          <w:bCs/>
          <w:sz w:val="20"/>
          <w:szCs w:val="20"/>
        </w:rPr>
      </w:pPr>
    </w:p>
    <w:p>
      <w:pPr>
        <w:rPr>
          <w:rFonts w:ascii="Verdana" w:hAnsi="Verdana"/>
          <w:b/>
          <w:bCs/>
          <w:sz w:val="20"/>
          <w:szCs w:val="20"/>
        </w:rPr>
      </w:pPr>
    </w:p>
    <w:p>
      <w:pPr>
        <w:numPr>
          <w:ilvl w:val="0"/>
          <w:numId w:val="3"/>
        </w:numPr>
        <w:rPr>
          <w:rFonts w:ascii="Verdana" w:hAnsi="Verdana" w:cs="Verdana"/>
          <w:b/>
          <w:bCs/>
          <w:sz w:val="20"/>
          <w:szCs w:val="20"/>
        </w:rPr>
      </w:pPr>
      <w:r>
        <w:rPr>
          <w:rFonts w:ascii="Verdana" w:hAnsi="Verdana" w:cs="Verdana"/>
          <w:b/>
          <w:bCs/>
          <w:sz w:val="20"/>
          <w:szCs w:val="20"/>
        </w:rPr>
        <w:t>Introduzione</w:t>
      </w:r>
    </w:p>
    <w:p>
      <w:pPr>
        <w:rPr>
          <w:rFonts w:ascii="Verdana" w:hAnsi="Verdana" w:cs="Verdana"/>
          <w:b/>
          <w:bCs/>
          <w:sz w:val="20"/>
          <w:szCs w:val="20"/>
        </w:rPr>
      </w:pPr>
    </w:p>
    <w:p>
      <w:pPr>
        <w:jc w:val="both"/>
        <w:rPr>
          <w:rFonts w:ascii="Verdana" w:hAnsi="Verdana" w:cs="Verdana"/>
          <w:sz w:val="22"/>
          <w:szCs w:val="22"/>
        </w:rPr>
      </w:pPr>
      <w:r>
        <w:rPr>
          <w:rFonts w:ascii="Verdana" w:hAnsi="Verdana" w:cs="Verdana"/>
          <w:sz w:val="20"/>
          <w:szCs w:val="20"/>
        </w:rPr>
        <w:t>Tut</w:t>
      </w:r>
      <w:r>
        <w:rPr>
          <w:rFonts w:ascii="Verdana" w:hAnsi="Verdana" w:cs="Verdana"/>
          <w:sz w:val="22"/>
          <w:szCs w:val="22"/>
        </w:rPr>
        <w:t>to l’ordinamento giuridico funziona tramite gli elementi di Fatto e Diritto.</w:t>
      </w:r>
    </w:p>
    <w:p>
      <w:pPr>
        <w:jc w:val="both"/>
        <w:rPr>
          <w:rFonts w:ascii="Verdana" w:hAnsi="Verdana" w:cs="Verdana"/>
          <w:sz w:val="22"/>
          <w:szCs w:val="22"/>
        </w:rPr>
      </w:pPr>
      <w:r>
        <w:rPr>
          <w:rFonts w:ascii="Verdana" w:hAnsi="Verdana" w:cs="Verdana"/>
          <w:sz w:val="22"/>
          <w:szCs w:val="22"/>
        </w:rPr>
        <w:t>Può dirsi che il provvedimento giudiziario procede alla sussunzione del fatto nel diritto secondo la formula</w:t>
      </w:r>
    </w:p>
    <w:p>
      <w:pPr>
        <w:jc w:val="both"/>
        <w:rPr>
          <w:rFonts w:ascii="Verdana" w:hAnsi="Verdana" w:cs="Verdana"/>
          <w:sz w:val="22"/>
          <w:szCs w:val="22"/>
        </w:rPr>
      </w:pPr>
      <w:r>
        <w:rPr>
          <w:rFonts w:ascii="Verdana" w:hAnsi="Verdana" w:cs="Verdana"/>
          <w:sz w:val="22"/>
          <w:szCs w:val="22"/>
        </w:rPr>
        <w:t xml:space="preserve">PG : F </w:t>
      </w:r>
      <w:r>
        <w:rPr>
          <w:rFonts w:ascii="Verdana" w:hAnsi="Verdana" w:cs="Verdana"/>
          <w:sz w:val="22"/>
          <w:szCs w:val="22"/>
        </w:rPr>
        <w:sym w:font="Wingdings" w:char="F0E0"/>
      </w:r>
      <w:r>
        <w:rPr>
          <w:rFonts w:ascii="Verdana" w:hAnsi="Verdana" w:cs="Verdana"/>
          <w:sz w:val="22"/>
          <w:szCs w:val="22"/>
        </w:rPr>
        <w:t xml:space="preserve"> D</w:t>
      </w:r>
    </w:p>
    <w:p>
      <w:pPr>
        <w:jc w:val="both"/>
        <w:rPr>
          <w:rFonts w:ascii="Verdana" w:hAnsi="Verdana" w:cs="Verdana"/>
          <w:sz w:val="22"/>
          <w:szCs w:val="22"/>
        </w:rPr>
      </w:pPr>
      <w:r>
        <w:rPr>
          <w:rFonts w:ascii="Verdana" w:hAnsi="Verdana" w:cs="Verdana"/>
          <w:sz w:val="22"/>
          <w:szCs w:val="22"/>
        </w:rPr>
        <w:t>(letto come il provvedimento giudiziario PG manda il fatto F nel diritto D).</w:t>
      </w:r>
    </w:p>
    <w:p>
      <w:pPr>
        <w:jc w:val="both"/>
        <w:rPr>
          <w:rFonts w:ascii="Verdana" w:hAnsi="Verdana" w:cs="Verdana"/>
          <w:sz w:val="22"/>
          <w:szCs w:val="22"/>
        </w:rPr>
      </w:pPr>
      <w:r>
        <w:rPr>
          <w:rFonts w:ascii="Verdana" w:hAnsi="Verdana" w:cs="Verdana"/>
          <w:sz w:val="22"/>
          <w:szCs w:val="22"/>
        </w:rPr>
        <w:t>Eppure fatto e diritto sono semplificazioni perché:</w:t>
      </w:r>
    </w:p>
    <w:p>
      <w:pPr>
        <w:pStyle w:val="49"/>
        <w:numPr>
          <w:ilvl w:val="0"/>
          <w:numId w:val="4"/>
        </w:numPr>
        <w:jc w:val="both"/>
        <w:rPr>
          <w:rFonts w:ascii="Verdana" w:hAnsi="Verdana" w:cs="Verdana"/>
          <w:sz w:val="22"/>
          <w:szCs w:val="22"/>
        </w:rPr>
      </w:pPr>
      <w:r>
        <w:rPr>
          <w:rFonts w:ascii="Verdana" w:hAnsi="Verdana" w:cs="Verdana"/>
          <w:sz w:val="22"/>
          <w:szCs w:val="22"/>
        </w:rPr>
        <w:t>il primo rileva nel processo solo in quanto provato</w:t>
      </w:r>
      <w:r>
        <w:rPr>
          <w:rFonts w:ascii="Verdana" w:hAnsi="Verdana" w:cs="Verdana"/>
          <w:sz w:val="22"/>
          <w:szCs w:val="22"/>
          <w:vertAlign w:val="superscript"/>
        </w:rPr>
        <w:footnoteReference w:id="1"/>
      </w:r>
      <w:r>
        <w:rPr>
          <w:rFonts w:ascii="Verdana" w:hAnsi="Verdana" w:cs="Verdana"/>
          <w:sz w:val="22"/>
          <w:szCs w:val="22"/>
        </w:rPr>
        <w:t>, per cui per fatto deve intendersi solo quello provato;</w:t>
      </w:r>
    </w:p>
    <w:p>
      <w:pPr>
        <w:pStyle w:val="49"/>
        <w:numPr>
          <w:ilvl w:val="0"/>
          <w:numId w:val="4"/>
        </w:numPr>
        <w:jc w:val="both"/>
        <w:rPr>
          <w:rFonts w:ascii="Verdana" w:hAnsi="Verdana" w:cs="Verdana"/>
          <w:sz w:val="22"/>
          <w:szCs w:val="22"/>
        </w:rPr>
      </w:pPr>
      <w:r>
        <w:rPr>
          <w:rFonts w:ascii="Verdana" w:hAnsi="Verdana" w:cs="Verdana"/>
          <w:sz w:val="22"/>
          <w:szCs w:val="22"/>
        </w:rPr>
        <w:t>il secondo esiste per come viene interpretato, per cui per diritto deve intendersi l’interpretazione</w:t>
      </w:r>
      <w:r>
        <w:rPr>
          <w:rFonts w:ascii="Verdana" w:hAnsi="Verdana" w:cs="Verdana"/>
          <w:sz w:val="22"/>
          <w:szCs w:val="22"/>
          <w:vertAlign w:val="superscript"/>
        </w:rPr>
        <w:footnoteReference w:id="2"/>
      </w:r>
      <w:r>
        <w:rPr>
          <w:rFonts w:ascii="Verdana" w:hAnsi="Verdana" w:cs="Verdana"/>
          <w:sz w:val="22"/>
          <w:szCs w:val="22"/>
        </w:rPr>
        <w:t xml:space="preserve"> della legge</w:t>
      </w:r>
      <w:r>
        <w:rPr>
          <w:rFonts w:ascii="Verdana" w:hAnsi="Verdana" w:cs="Verdana"/>
          <w:sz w:val="22"/>
          <w:szCs w:val="22"/>
          <w:vertAlign w:val="superscript"/>
        </w:rPr>
        <w:footnoteReference w:id="3"/>
      </w:r>
      <w:r>
        <w:rPr>
          <w:rFonts w:ascii="Verdana" w:hAnsi="Verdana" w:cs="Verdana"/>
          <w:sz w:val="22"/>
          <w:szCs w:val="22"/>
        </w:rPr>
        <w:t>.</w:t>
      </w:r>
    </w:p>
    <w:p>
      <w:pPr>
        <w:jc w:val="both"/>
        <w:rPr>
          <w:rFonts w:ascii="Verdana" w:hAnsi="Verdana" w:cs="Verdana"/>
          <w:sz w:val="22"/>
          <w:szCs w:val="22"/>
        </w:rPr>
      </w:pPr>
      <w:r>
        <w:rPr>
          <w:rFonts w:ascii="Verdana" w:hAnsi="Verdana" w:cs="Verdana"/>
          <w:sz w:val="22"/>
          <w:szCs w:val="22"/>
        </w:rPr>
        <w:t>Poniamo il seguente esempio:</w:t>
      </w:r>
    </w:p>
    <w:p>
      <w:pPr>
        <w:jc w:val="both"/>
        <w:rPr>
          <w:rFonts w:ascii="Verdana" w:hAnsi="Verdana" w:cs="Verdana"/>
          <w:sz w:val="22"/>
          <w:szCs w:val="22"/>
        </w:rPr>
      </w:pPr>
      <w:r>
        <w:rPr>
          <w:rFonts w:ascii="Verdana" w:hAnsi="Verdana" w:cs="Verdana"/>
          <w:sz w:val="22"/>
          <w:szCs w:val="22"/>
        </w:rPr>
        <w:t>Tizio prende a schiaffi Caio, cagionandogli lesioni: questo è un fatto F.</w:t>
      </w:r>
    </w:p>
    <w:p>
      <w:pPr>
        <w:jc w:val="both"/>
        <w:rPr>
          <w:rFonts w:ascii="Verdana" w:hAnsi="Verdana" w:cs="Verdana"/>
          <w:sz w:val="22"/>
          <w:szCs w:val="22"/>
        </w:rPr>
      </w:pPr>
      <w:r>
        <w:rPr>
          <w:rFonts w:ascii="Verdana" w:hAnsi="Verdana" w:cs="Verdana"/>
          <w:sz w:val="22"/>
          <w:szCs w:val="22"/>
        </w:rPr>
        <w:t>Per ottenere una tutela giuridica, tale fatto dovrà essere provato in sede giudiziaria, ottenendo in concreto un provvedimento (sentenza) di condanna di Tizio a risarcire il danno subito da Caio ex art. 2043 c.c.</w:t>
      </w:r>
    </w:p>
    <w:p>
      <w:pPr>
        <w:jc w:val="both"/>
        <w:rPr>
          <w:rFonts w:ascii="Verdana" w:hAnsi="Verdana" w:cs="Verdana"/>
          <w:sz w:val="22"/>
          <w:szCs w:val="22"/>
        </w:rPr>
      </w:pPr>
      <w:r>
        <w:rPr>
          <w:rFonts w:ascii="Verdana" w:hAnsi="Verdana" w:cs="Verdana"/>
          <w:sz w:val="22"/>
          <w:szCs w:val="22"/>
        </w:rPr>
        <w:t>Il giudice scriverà il provvedimento giudiziario PG  con cui, accertato il fatto F, lo manderà nell’art. 2043 c.c. che è il diritto D.</w:t>
      </w:r>
    </w:p>
    <w:p>
      <w:pPr>
        <w:jc w:val="both"/>
        <w:rPr>
          <w:rFonts w:ascii="Verdana" w:hAnsi="Verdana" w:cs="Verdana"/>
          <w:sz w:val="22"/>
          <w:szCs w:val="22"/>
        </w:rPr>
      </w:pPr>
      <w:r>
        <w:rPr>
          <w:rFonts w:ascii="Verdana" w:hAnsi="Verdana" w:cs="Verdana"/>
          <w:sz w:val="22"/>
          <w:szCs w:val="22"/>
        </w:rPr>
        <w:t>Questa operazione è essenzialmente di sussunzione.</w:t>
      </w:r>
    </w:p>
    <w:p>
      <w:pPr>
        <w:jc w:val="both"/>
        <w:rPr>
          <w:rFonts w:ascii="Verdana" w:hAnsi="Verdana" w:cs="Verdana"/>
          <w:i/>
          <w:iCs/>
          <w:sz w:val="22"/>
          <w:szCs w:val="22"/>
        </w:rPr>
      </w:pPr>
      <w:r>
        <w:rPr>
          <w:rFonts w:ascii="Verdana" w:hAnsi="Verdana" w:cs="Verdana"/>
          <w:sz w:val="22"/>
          <w:szCs w:val="22"/>
        </w:rPr>
        <w:t>Come detto da una certa dottrina</w:t>
      </w:r>
      <w:r>
        <w:rPr>
          <w:rFonts w:ascii="Verdana" w:hAnsi="Verdana" w:cs="Verdana"/>
          <w:sz w:val="22"/>
          <w:szCs w:val="22"/>
          <w:vertAlign w:val="superscript"/>
        </w:rPr>
        <w:footnoteReference w:id="4"/>
      </w:r>
      <w:r>
        <w:rPr>
          <w:rFonts w:ascii="Verdana" w:hAnsi="Verdana" w:cs="Verdana"/>
          <w:sz w:val="22"/>
          <w:szCs w:val="22"/>
        </w:rPr>
        <w:t xml:space="preserve">, per qualificare un fatto concreto </w:t>
      </w:r>
      <w:r>
        <w:rPr>
          <w:rFonts w:ascii="Verdana" w:hAnsi="Verdana" w:cs="Verdana"/>
          <w:i/>
          <w:iCs/>
          <w:sz w:val="22"/>
          <w:szCs w:val="22"/>
        </w:rPr>
        <w:t>è necessario ricercare, tra le disposizioni normative, quella che più di ogni altra è applicabile.</w:t>
      </w:r>
    </w:p>
    <w:p>
      <w:pPr>
        <w:jc w:val="both"/>
        <w:rPr>
          <w:rFonts w:ascii="Verdana" w:hAnsi="Verdana" w:cs="Verdana"/>
          <w:i/>
          <w:iCs/>
          <w:sz w:val="22"/>
          <w:szCs w:val="22"/>
        </w:rPr>
      </w:pPr>
      <w:r>
        <w:rPr>
          <w:rFonts w:ascii="Verdana" w:hAnsi="Verdana" w:cs="Verdana"/>
          <w:i/>
          <w:iCs/>
          <w:sz w:val="22"/>
          <w:szCs w:val="22"/>
        </w:rPr>
        <w:t xml:space="preserve">Questo procedimento, basato sulla tecnica della sussunzione, utilizza lo strumento del sillogismo: </w:t>
      </w:r>
    </w:p>
    <w:p>
      <w:pPr>
        <w:pStyle w:val="49"/>
        <w:numPr>
          <w:ilvl w:val="0"/>
          <w:numId w:val="5"/>
        </w:numPr>
        <w:jc w:val="both"/>
        <w:rPr>
          <w:rFonts w:ascii="Verdana" w:hAnsi="Verdana" w:cs="Verdana"/>
          <w:i/>
          <w:iCs/>
          <w:sz w:val="22"/>
          <w:szCs w:val="22"/>
        </w:rPr>
      </w:pPr>
      <w:r>
        <w:rPr>
          <w:rFonts w:ascii="Verdana" w:hAnsi="Verdana" w:cs="Verdana"/>
          <w:i/>
          <w:iCs/>
          <w:sz w:val="22"/>
          <w:szCs w:val="22"/>
        </w:rPr>
        <w:t>tutti gli uomini hanno due mani (premessa maggiore);</w:t>
      </w:r>
    </w:p>
    <w:p>
      <w:pPr>
        <w:pStyle w:val="49"/>
        <w:numPr>
          <w:ilvl w:val="0"/>
          <w:numId w:val="5"/>
        </w:numPr>
        <w:jc w:val="both"/>
        <w:rPr>
          <w:rFonts w:ascii="Verdana" w:hAnsi="Verdana" w:cs="Verdana"/>
          <w:i/>
          <w:iCs/>
          <w:sz w:val="22"/>
          <w:szCs w:val="22"/>
        </w:rPr>
      </w:pPr>
      <w:r>
        <w:rPr>
          <w:rFonts w:ascii="Verdana" w:hAnsi="Verdana" w:cs="Verdana"/>
          <w:i/>
          <w:iCs/>
          <w:sz w:val="22"/>
          <w:szCs w:val="22"/>
        </w:rPr>
        <w:t>Filippo è un uomo (premessa minore);</w:t>
      </w:r>
    </w:p>
    <w:p>
      <w:pPr>
        <w:pStyle w:val="49"/>
        <w:numPr>
          <w:ilvl w:val="0"/>
          <w:numId w:val="5"/>
        </w:numPr>
        <w:jc w:val="both"/>
        <w:rPr>
          <w:rFonts w:ascii="Verdana" w:hAnsi="Verdana" w:cs="Verdana"/>
          <w:i/>
          <w:iCs/>
          <w:sz w:val="22"/>
          <w:szCs w:val="22"/>
        </w:rPr>
      </w:pPr>
      <w:r>
        <w:rPr>
          <w:rFonts w:ascii="Verdana" w:hAnsi="Verdana" w:cs="Verdana"/>
          <w:i/>
          <w:iCs/>
          <w:sz w:val="22"/>
          <w:szCs w:val="22"/>
        </w:rPr>
        <w:t>Filippo ha due mani (sintesi).</w:t>
      </w:r>
    </w:p>
    <w:p>
      <w:pPr>
        <w:jc w:val="both"/>
        <w:rPr>
          <w:rFonts w:ascii="Verdana" w:hAnsi="Verdana" w:cs="Verdana"/>
          <w:i/>
          <w:iCs/>
          <w:sz w:val="22"/>
          <w:szCs w:val="22"/>
        </w:rPr>
      </w:pPr>
      <w:r>
        <w:rPr>
          <w:rFonts w:ascii="Verdana" w:hAnsi="Verdana" w:cs="Verdana"/>
          <w:i/>
          <w:iCs/>
          <w:sz w:val="22"/>
          <w:szCs w:val="22"/>
        </w:rPr>
        <w:t>Tradotto a livello giuridico, ciò vuol dire che ogni fatto astrattamente riconducibile a un modello predeterminato sia qualificabile alla stregua di quel modello predefinito:</w:t>
      </w:r>
    </w:p>
    <w:p>
      <w:pPr>
        <w:pStyle w:val="49"/>
        <w:numPr>
          <w:ilvl w:val="0"/>
          <w:numId w:val="6"/>
        </w:numPr>
        <w:jc w:val="both"/>
        <w:rPr>
          <w:rFonts w:ascii="Verdana" w:hAnsi="Verdana" w:cs="Verdana"/>
          <w:i/>
          <w:iCs/>
          <w:sz w:val="22"/>
          <w:szCs w:val="22"/>
        </w:rPr>
      </w:pPr>
      <w:r>
        <w:rPr>
          <w:rFonts w:ascii="Verdana" w:hAnsi="Verdana" w:cs="Verdana"/>
          <w:i/>
          <w:iCs/>
          <w:sz w:val="22"/>
          <w:szCs w:val="22"/>
        </w:rPr>
        <w:t xml:space="preserve">il contratto che ha per oggetto il trasferimento della proprietà di una cosa o il trasferimento di un altro diritto verso il corrispettivo di un prezzo è una compravendita (premessa maggiore); </w:t>
      </w:r>
    </w:p>
    <w:p>
      <w:pPr>
        <w:pStyle w:val="49"/>
        <w:numPr>
          <w:ilvl w:val="0"/>
          <w:numId w:val="6"/>
        </w:numPr>
        <w:jc w:val="both"/>
        <w:rPr>
          <w:rFonts w:ascii="Verdana" w:hAnsi="Verdana" w:cs="Verdana"/>
          <w:i/>
          <w:iCs/>
          <w:sz w:val="22"/>
          <w:szCs w:val="22"/>
        </w:rPr>
      </w:pPr>
      <w:r>
        <w:rPr>
          <w:rFonts w:ascii="Verdana" w:hAnsi="Verdana" w:cs="Verdana"/>
          <w:i/>
          <w:iCs/>
          <w:sz w:val="22"/>
          <w:szCs w:val="22"/>
        </w:rPr>
        <w:t>Andrea ha ceduto la proprietà del suo libro a Mario in cambio di 5 euro (premessa minore);</w:t>
      </w:r>
    </w:p>
    <w:p>
      <w:pPr>
        <w:pStyle w:val="49"/>
        <w:numPr>
          <w:ilvl w:val="0"/>
          <w:numId w:val="6"/>
        </w:numPr>
        <w:jc w:val="both"/>
        <w:rPr>
          <w:rFonts w:ascii="Verdana" w:hAnsi="Verdana" w:cs="Verdana"/>
          <w:i/>
          <w:iCs/>
          <w:sz w:val="22"/>
          <w:szCs w:val="22"/>
        </w:rPr>
      </w:pPr>
      <w:r>
        <w:rPr>
          <w:rFonts w:ascii="Verdana" w:hAnsi="Verdana" w:cs="Verdana"/>
          <w:i/>
          <w:iCs/>
          <w:sz w:val="22"/>
          <w:szCs w:val="22"/>
        </w:rPr>
        <w:t>Andrea e Mario hanno concluso una compravendita (sintesi).</w:t>
      </w:r>
    </w:p>
    <w:p>
      <w:pPr>
        <w:jc w:val="both"/>
        <w:rPr>
          <w:rFonts w:ascii="Verdana" w:hAnsi="Verdana" w:cs="Verdana"/>
          <w:sz w:val="22"/>
          <w:szCs w:val="22"/>
        </w:rPr>
      </w:pPr>
      <w:r>
        <w:rPr>
          <w:rFonts w:ascii="Verdana" w:hAnsi="Verdana" w:cs="Verdana"/>
          <w:sz w:val="22"/>
          <w:szCs w:val="22"/>
        </w:rPr>
        <w:t>Ebbene, nei casi esaminati:</w:t>
      </w:r>
    </w:p>
    <w:p>
      <w:pPr>
        <w:pStyle w:val="49"/>
        <w:numPr>
          <w:ilvl w:val="0"/>
          <w:numId w:val="6"/>
        </w:numPr>
        <w:jc w:val="both"/>
        <w:rPr>
          <w:rFonts w:ascii="Verdana" w:hAnsi="Verdana" w:cs="Verdana"/>
          <w:sz w:val="22"/>
          <w:szCs w:val="22"/>
        </w:rPr>
      </w:pPr>
      <w:r>
        <w:rPr>
          <w:rFonts w:ascii="Verdana" w:hAnsi="Verdana" w:cs="Verdana"/>
          <w:sz w:val="22"/>
          <w:szCs w:val="22"/>
        </w:rPr>
        <w:t>la premessa maggiore è il diritto D;</w:t>
      </w:r>
    </w:p>
    <w:p>
      <w:pPr>
        <w:pStyle w:val="49"/>
        <w:numPr>
          <w:ilvl w:val="0"/>
          <w:numId w:val="6"/>
        </w:numPr>
        <w:jc w:val="both"/>
        <w:rPr>
          <w:rFonts w:ascii="Verdana" w:hAnsi="Verdana" w:cs="Verdana"/>
          <w:sz w:val="22"/>
          <w:szCs w:val="22"/>
        </w:rPr>
      </w:pPr>
      <w:r>
        <w:rPr>
          <w:rFonts w:ascii="Verdana" w:hAnsi="Verdana" w:cs="Verdana"/>
          <w:sz w:val="22"/>
          <w:szCs w:val="22"/>
        </w:rPr>
        <w:t>la premessa minore è il fatto F;</w:t>
      </w:r>
    </w:p>
    <w:p>
      <w:pPr>
        <w:pStyle w:val="49"/>
        <w:numPr>
          <w:ilvl w:val="0"/>
          <w:numId w:val="6"/>
        </w:numPr>
        <w:jc w:val="both"/>
        <w:rPr>
          <w:rFonts w:ascii="Verdana" w:hAnsi="Verdana" w:cs="Verdana"/>
          <w:sz w:val="22"/>
          <w:szCs w:val="22"/>
        </w:rPr>
      </w:pPr>
      <w:r>
        <w:rPr>
          <w:rFonts w:ascii="Verdana" w:hAnsi="Verdana" w:cs="Verdana"/>
          <w:sz w:val="22"/>
          <w:szCs w:val="22"/>
        </w:rPr>
        <w:t>la sintesi è il provvedimento giudiziario PG.</w:t>
      </w:r>
    </w:p>
    <w:p>
      <w:pPr>
        <w:jc w:val="both"/>
        <w:rPr>
          <w:rFonts w:ascii="Verdana" w:hAnsi="Verdana" w:cs="Verdana"/>
          <w:sz w:val="22"/>
          <w:szCs w:val="22"/>
        </w:rPr>
      </w:pPr>
      <w:r>
        <w:rPr>
          <w:rFonts w:ascii="Verdana" w:hAnsi="Verdana" w:cs="Verdana"/>
          <w:sz w:val="22"/>
          <w:szCs w:val="22"/>
        </w:rPr>
        <w:t>L’intero sistema giuridico è allineato al sillogismo aristotelico che è essenzialmente deduttivo: ciò in quanto, in questo modo, si ha maggiore certezza della correttezza del risultato che è la sentenza (sintesi), rispetto alla premessa minore (fatto) e premessa maggiore (diritto).</w:t>
      </w:r>
    </w:p>
    <w:p>
      <w:pPr>
        <w:jc w:val="both"/>
        <w:rPr>
          <w:rFonts w:ascii="Verdana" w:hAnsi="Verdana" w:cs="Verdana"/>
          <w:sz w:val="22"/>
          <w:szCs w:val="22"/>
        </w:rPr>
      </w:pPr>
      <w:r>
        <w:rPr>
          <w:rFonts w:ascii="Verdana" w:hAnsi="Verdana" w:cs="Verdana"/>
          <w:sz w:val="22"/>
          <w:szCs w:val="22"/>
        </w:rPr>
        <w:t>Se la formula del diritto è PG : F --&gt; D , allora diviene decisivo individuare le variabili F e D.</w:t>
      </w:r>
    </w:p>
    <w:p>
      <w:pPr>
        <w:jc w:val="both"/>
        <w:rPr>
          <w:rFonts w:ascii="Verdana" w:hAnsi="Verdana" w:cs="Verdana"/>
          <w:sz w:val="22"/>
          <w:szCs w:val="22"/>
        </w:rPr>
      </w:pPr>
    </w:p>
    <w:p>
      <w:pPr>
        <w:jc w:val="both"/>
        <w:rPr>
          <w:rFonts w:ascii="Verdana" w:hAnsi="Verdana" w:cs="Verdana"/>
          <w:sz w:val="22"/>
          <w:szCs w:val="22"/>
        </w:rPr>
      </w:pPr>
    </w:p>
    <w:p>
      <w:pPr>
        <w:numPr>
          <w:ilvl w:val="0"/>
          <w:numId w:val="3"/>
        </w:numPr>
        <w:jc w:val="both"/>
        <w:rPr>
          <w:rFonts w:ascii="Verdana" w:hAnsi="Verdana" w:cs="Verdana"/>
          <w:sz w:val="22"/>
          <w:szCs w:val="22"/>
        </w:rPr>
      </w:pPr>
      <w:r>
        <w:rPr>
          <w:rFonts w:ascii="Verdana" w:hAnsi="Verdana" w:cs="Verdana"/>
          <w:b/>
          <w:bCs/>
          <w:sz w:val="22"/>
          <w:szCs w:val="22"/>
        </w:rPr>
        <w:t>Come calcolare il fatto</w:t>
      </w:r>
    </w:p>
    <w:p>
      <w:pPr>
        <w:jc w:val="both"/>
        <w:rPr>
          <w:rFonts w:ascii="Verdana" w:hAnsi="Verdana" w:cs="Verdana"/>
          <w:sz w:val="22"/>
          <w:szCs w:val="22"/>
        </w:rPr>
      </w:pPr>
    </w:p>
    <w:p>
      <w:pPr>
        <w:jc w:val="both"/>
        <w:rPr>
          <w:rFonts w:ascii="Verdana" w:hAnsi="Verdana" w:cs="Verdana"/>
          <w:sz w:val="22"/>
          <w:szCs w:val="22"/>
        </w:rPr>
      </w:pPr>
      <w:r>
        <w:rPr>
          <w:rFonts w:ascii="Verdana" w:hAnsi="Verdana" w:cs="Verdana"/>
          <w:sz w:val="22"/>
          <w:szCs w:val="22"/>
        </w:rPr>
        <w:t>Di seguito si espone la formula per la prova del fatto</w:t>
      </w:r>
      <w:r>
        <w:rPr>
          <w:rFonts w:ascii="Verdana" w:hAnsi="Verdana" w:cs="Verdana"/>
          <w:sz w:val="22"/>
          <w:szCs w:val="22"/>
          <w:vertAlign w:val="superscript"/>
        </w:rPr>
        <w:footnoteReference w:id="5"/>
      </w:r>
      <w:r>
        <w:rPr>
          <w:rFonts w:ascii="Verdana" w:hAnsi="Verdana" w:cs="Verdana"/>
          <w:sz w:val="22"/>
          <w:szCs w:val="22"/>
        </w:rPr>
        <w:t xml:space="preserve">: </w:t>
      </w:r>
    </w:p>
    <w:p>
      <w:pPr>
        <w:pStyle w:val="49"/>
        <w:numPr>
          <w:ilvl w:val="0"/>
          <w:numId w:val="7"/>
        </w:numPr>
        <w:jc w:val="both"/>
        <w:rPr>
          <w:rFonts w:ascii="Verdana" w:hAnsi="Verdana" w:cs="Verdana"/>
          <w:sz w:val="22"/>
          <w:szCs w:val="22"/>
        </w:rPr>
      </w:pPr>
      <w:r>
        <w:rPr>
          <w:rFonts w:ascii="Verdana" w:hAnsi="Verdana" w:cs="Verdana"/>
          <w:sz w:val="22"/>
          <w:szCs w:val="22"/>
        </w:rPr>
        <w:t>tiene conto dello scrutinio del prudente apprezzamento ex art. 116 c.p.c.;</w:t>
      </w:r>
    </w:p>
    <w:p>
      <w:pPr>
        <w:pStyle w:val="49"/>
        <w:numPr>
          <w:ilvl w:val="0"/>
          <w:numId w:val="7"/>
        </w:numPr>
        <w:jc w:val="both"/>
        <w:rPr>
          <w:rFonts w:ascii="Verdana" w:hAnsi="Verdana" w:cs="Verdana"/>
          <w:sz w:val="22"/>
          <w:szCs w:val="22"/>
        </w:rPr>
      </w:pPr>
      <w:r>
        <w:rPr>
          <w:rFonts w:ascii="Verdana" w:hAnsi="Verdana" w:cs="Verdana"/>
          <w:sz w:val="22"/>
          <w:szCs w:val="22"/>
        </w:rPr>
        <w:t xml:space="preserve">tiene conto del complesso probatorio, indipendentemente dal momento processuale in cui la prova viene prospettata, come invero è nella dinamica processuale, dove il giudice decide alla fine. </w:t>
      </w:r>
    </w:p>
    <w:p>
      <w:pPr>
        <w:pStyle w:val="49"/>
        <w:ind w:left="0"/>
        <w:jc w:val="both"/>
        <w:rPr>
          <w:rFonts w:ascii="Verdana" w:hAnsi="Verdana" w:cs="Verdana"/>
          <w:sz w:val="22"/>
          <w:szCs w:val="22"/>
        </w:rPr>
      </w:pPr>
      <w:r>
        <w:rPr>
          <w:rFonts w:ascii="Verdana" w:hAnsi="Verdana" w:cs="Verdana"/>
          <w:sz w:val="22"/>
          <w:szCs w:val="22"/>
        </w:rPr>
        <w:t>Valutare una prova</w:t>
      </w:r>
      <w:r>
        <w:rPr>
          <w:rFonts w:ascii="Verdana" w:hAnsi="Verdana" w:cs="Verdana"/>
          <w:sz w:val="22"/>
          <w:szCs w:val="22"/>
          <w:vertAlign w:val="superscript"/>
        </w:rPr>
        <w:footnoteReference w:id="6"/>
      </w:r>
      <w:r>
        <w:rPr>
          <w:rFonts w:ascii="Verdana" w:hAnsi="Verdana" w:cs="Verdana"/>
          <w:sz w:val="22"/>
          <w:szCs w:val="22"/>
        </w:rPr>
        <w:t xml:space="preserve"> con prudenza (dovere/obbligo che vale solo per le prove  cc.dd. non legali</w:t>
      </w:r>
      <w:r>
        <w:rPr>
          <w:rFonts w:ascii="Verdana" w:hAnsi="Verdana" w:cs="Verdana"/>
          <w:sz w:val="22"/>
          <w:szCs w:val="22"/>
          <w:vertAlign w:val="superscript"/>
        </w:rPr>
        <w:footnoteReference w:id="7"/>
      </w:r>
      <w:r>
        <w:rPr>
          <w:rFonts w:ascii="Verdana" w:hAnsi="Verdana" w:cs="Verdana"/>
          <w:sz w:val="22"/>
          <w:szCs w:val="22"/>
        </w:rPr>
        <w:t xml:space="preserve"> o libere) vuol dire che il giudice non può limitarsi ad accoglierla ed attribuirle il massimo valore possibile, ma deve verificarne la validità, deve anche criticarla, contestarla, sindacarla: deve, cioè, prudenzialmente apprezzare, ovvero dare un numero.</w:t>
      </w:r>
    </w:p>
    <w:p>
      <w:pPr>
        <w:jc w:val="both"/>
        <w:rPr>
          <w:rFonts w:ascii="Verdana" w:hAnsi="Verdana" w:cs="Verdana"/>
          <w:sz w:val="22"/>
          <w:szCs w:val="22"/>
        </w:rPr>
      </w:pPr>
      <w:r>
        <w:rPr>
          <w:rFonts w:ascii="Verdana" w:hAnsi="Verdana" w:cs="Verdana"/>
          <w:sz w:val="22"/>
          <w:szCs w:val="22"/>
        </w:rPr>
        <w:t>Ora, fissiamo numericamente che il prudente apprezzamento del giudice possa variare da 0 ad 1</w:t>
      </w:r>
      <w:r>
        <w:rPr>
          <w:rStyle w:val="13"/>
          <w:rFonts w:ascii="Verdana" w:hAnsi="Verdana" w:cs="Verdana"/>
          <w:sz w:val="22"/>
          <w:szCs w:val="22"/>
        </w:rPr>
        <w:footnoteReference w:id="8"/>
      </w:r>
      <w:r>
        <w:rPr>
          <w:rFonts w:ascii="Verdana" w:hAnsi="Verdana" w:cs="Verdana"/>
          <w:sz w:val="22"/>
          <w:szCs w:val="22"/>
        </w:rPr>
        <w:t>, attribuendo al prudente apprezzamento la variabile VPA (valutazione secondo prudente apprezzamento).</w:t>
      </w:r>
    </w:p>
    <w:p>
      <w:pPr>
        <w:jc w:val="both"/>
        <w:rPr>
          <w:rFonts w:ascii="Verdana" w:hAnsi="Verdana" w:cs="Verdana"/>
          <w:sz w:val="22"/>
          <w:szCs w:val="22"/>
        </w:rPr>
      </w:pPr>
      <w:r>
        <w:rPr>
          <w:rFonts w:ascii="Verdana" w:hAnsi="Verdana" w:cs="Verdana"/>
          <w:sz w:val="22"/>
          <w:szCs w:val="22"/>
        </w:rPr>
        <w:t xml:space="preserve">Ebbene, potremo affermare: </w:t>
      </w:r>
      <w:bookmarkStart w:id="0" w:name="_Hlk73919520"/>
      <w:r>
        <w:rPr>
          <w:rFonts w:ascii="Verdana" w:hAnsi="Verdana" w:cs="Verdana"/>
          <w:sz w:val="22"/>
          <w:szCs w:val="22"/>
        </w:rPr>
        <w:t>per il processo civile, il fatto si intende provato</w:t>
      </w:r>
      <w:r>
        <w:rPr>
          <w:rFonts w:ascii="Verdana" w:hAnsi="Verdana" w:cs="Verdana"/>
          <w:sz w:val="22"/>
          <w:szCs w:val="22"/>
          <w:vertAlign w:val="superscript"/>
        </w:rPr>
        <w:footnoteReference w:id="9"/>
      </w:r>
      <w:r>
        <w:rPr>
          <w:rFonts w:ascii="Verdana" w:hAnsi="Verdana" w:cs="Verdana"/>
          <w:sz w:val="22"/>
          <w:szCs w:val="22"/>
        </w:rPr>
        <w:t xml:space="preserve"> (FP=1), solo quando (&lt;=&gt;) la sommatoria delle prove dei fatti costitutivi</w:t>
      </w:r>
      <w:r>
        <w:rPr>
          <w:rFonts w:ascii="Verdana" w:hAnsi="Verdana" w:cs="Verdana"/>
          <w:sz w:val="22"/>
          <w:szCs w:val="22"/>
          <w:vertAlign w:val="superscript"/>
        </w:rPr>
        <w:footnoteReference w:id="10"/>
      </w:r>
      <w:r>
        <w:rPr>
          <w:rFonts w:ascii="Verdana" w:hAnsi="Verdana" w:cs="Verdana"/>
          <w:sz w:val="22"/>
          <w:szCs w:val="22"/>
        </w:rPr>
        <w:t xml:space="preserve"> </w:t>
      </w:r>
      <w:bookmarkStart w:id="1" w:name="_Hlk73031727"/>
      <w:r>
        <w:rPr>
          <w:rFonts w:ascii="Verdana" w:hAnsi="Verdana" w:cs="Verdana"/>
          <w:sz w:val="22"/>
          <w:szCs w:val="22"/>
        </w:rPr>
        <w:t>(</w:t>
      </w:r>
      <w:bookmarkStart w:id="2" w:name="_Hlk73372876"/>
      <w:r>
        <w:rPr>
          <w:rFonts w:ascii="Verdana" w:hAnsi="Verdana" w:cs="Verdana"/>
          <w:sz w:val="22"/>
          <w:szCs w:val="22"/>
        </w:rPr>
        <w:t>∑</w:t>
      </w:r>
      <w:bookmarkEnd w:id="2"/>
      <w:r>
        <w:rPr>
          <w:rFonts w:ascii="Verdana" w:hAnsi="Verdana" w:cs="Verdana"/>
          <w:sz w:val="22"/>
          <w:szCs w:val="22"/>
        </w:rPr>
        <w:t xml:space="preserve">pfc), </w:t>
      </w:r>
      <w:bookmarkEnd w:id="1"/>
      <w:r>
        <w:rPr>
          <w:rFonts w:ascii="Verdana" w:hAnsi="Verdana" w:cs="Verdana"/>
          <w:sz w:val="22"/>
          <w:szCs w:val="22"/>
        </w:rPr>
        <w:t xml:space="preserve">moltiplicata per la valutazione secondo prudente apprezzamento (VPA), sarà maggiore della sommatoria delle prove dei fatti non costitutivi </w:t>
      </w:r>
      <w:bookmarkStart w:id="3" w:name="_Hlk73031738"/>
      <w:r>
        <w:rPr>
          <w:rFonts w:ascii="Verdana" w:hAnsi="Verdana" w:cs="Verdana"/>
          <w:sz w:val="22"/>
          <w:szCs w:val="22"/>
        </w:rPr>
        <w:t>(∑pfnc), moltiplicata per la valutazione secondo prudente apprezzamento (VPA).</w:t>
      </w:r>
      <w:bookmarkEnd w:id="3"/>
    </w:p>
    <w:bookmarkEnd w:id="0"/>
    <w:p>
      <w:pPr>
        <w:jc w:val="both"/>
        <w:rPr>
          <w:rFonts w:ascii="Verdana" w:hAnsi="Verdana" w:cs="Verdana"/>
          <w:sz w:val="22"/>
          <w:szCs w:val="22"/>
        </w:rPr>
      </w:pPr>
      <w:r>
        <w:rPr>
          <w:rFonts w:ascii="Verdana" w:hAnsi="Verdana" w:cs="Verdana"/>
          <w:sz w:val="22"/>
          <w:szCs w:val="22"/>
        </w:rPr>
        <w:t>Pertanto:</w:t>
      </w:r>
    </w:p>
    <w:p>
      <w:pPr>
        <w:jc w:val="both"/>
        <w:rPr>
          <w:rFonts w:ascii="Verdana" w:hAnsi="Verdana" w:cs="Verdana"/>
          <w:sz w:val="22"/>
          <w:szCs w:val="22"/>
        </w:rPr>
      </w:pPr>
      <w:bookmarkStart w:id="4" w:name="_Hlk73074249"/>
    </w:p>
    <w:p>
      <w:pPr>
        <w:jc w:val="both"/>
        <w:rPr>
          <w:rFonts w:ascii="Verdana" w:hAnsi="Verdana" w:cs="Verdana"/>
          <w:sz w:val="22"/>
          <w:szCs w:val="22"/>
        </w:rPr>
      </w:pPr>
      <w:r>
        <w:rPr>
          <w:rFonts w:ascii="Verdana" w:hAnsi="Verdana" w:cs="Verdana"/>
          <w:sz w:val="22"/>
          <w:szCs w:val="22"/>
        </w:rPr>
        <w:t xml:space="preserve">FP ≡ 1 &lt;=&gt; </w:t>
      </w:r>
      <w:bookmarkEnd w:id="4"/>
      <w:r>
        <w:rPr>
          <w:rFonts w:ascii="Verdana" w:hAnsi="Verdana" w:cs="Verdana"/>
          <w:sz w:val="22"/>
          <w:szCs w:val="22"/>
        </w:rPr>
        <w:t>(VPAfc) (∑pfc) &gt; (VPAfnc) (∑pfnc)</w:t>
      </w:r>
    </w:p>
    <w:p>
      <w:pPr>
        <w:jc w:val="both"/>
        <w:rPr>
          <w:rFonts w:ascii="Verdana" w:hAnsi="Verdana" w:cs="Verdana"/>
          <w:sz w:val="22"/>
          <w:szCs w:val="22"/>
        </w:rPr>
      </w:pPr>
    </w:p>
    <w:p>
      <w:pPr>
        <w:jc w:val="both"/>
        <w:rPr>
          <w:rFonts w:ascii="Verdana" w:hAnsi="Verdana" w:cs="Verdana"/>
          <w:sz w:val="22"/>
          <w:szCs w:val="22"/>
        </w:rPr>
      </w:pPr>
      <w:r>
        <w:rPr>
          <w:rFonts w:ascii="Verdana" w:hAnsi="Verdana" w:cs="Verdana"/>
          <w:sz w:val="22"/>
          <w:szCs w:val="22"/>
        </w:rPr>
        <w:t>Precisiamo però che:</w:t>
      </w:r>
    </w:p>
    <w:p>
      <w:pPr>
        <w:pStyle w:val="49"/>
        <w:numPr>
          <w:ilvl w:val="0"/>
          <w:numId w:val="8"/>
        </w:numPr>
        <w:jc w:val="both"/>
        <w:rPr>
          <w:rFonts w:ascii="Verdana" w:hAnsi="Verdana" w:cs="Verdana"/>
          <w:sz w:val="22"/>
          <w:szCs w:val="22"/>
        </w:rPr>
      </w:pPr>
      <w:r>
        <w:rPr>
          <w:rFonts w:ascii="Verdana" w:hAnsi="Verdana" w:cs="Verdana"/>
          <w:sz w:val="22"/>
          <w:szCs w:val="22"/>
        </w:rPr>
        <w:t>VPA dovrà avere il valore 0 quando non sono provati tutti i fatti costitutivi, in quanto è onere dell’attore provare “</w:t>
      </w:r>
      <w:r>
        <w:rPr>
          <w:rFonts w:ascii="Verdana" w:hAnsi="Verdana" w:cs="Verdana"/>
          <w:i/>
          <w:iCs/>
          <w:sz w:val="22"/>
          <w:szCs w:val="22"/>
        </w:rPr>
        <w:t>fatti che ne costituiscono il fondamento</w:t>
      </w:r>
      <w:r>
        <w:rPr>
          <w:rFonts w:ascii="Verdana" w:hAnsi="Verdana" w:cs="Verdana"/>
          <w:sz w:val="22"/>
          <w:szCs w:val="22"/>
        </w:rPr>
        <w:t>” ex art. 2697 c.c.;</w:t>
      </w:r>
    </w:p>
    <w:p>
      <w:pPr>
        <w:pStyle w:val="49"/>
        <w:numPr>
          <w:ilvl w:val="0"/>
          <w:numId w:val="8"/>
        </w:numPr>
        <w:jc w:val="both"/>
        <w:rPr>
          <w:rFonts w:ascii="Verdana" w:hAnsi="Verdana" w:cs="Verdana"/>
          <w:sz w:val="22"/>
          <w:szCs w:val="22"/>
        </w:rPr>
      </w:pPr>
      <w:r>
        <w:rPr>
          <w:rFonts w:ascii="Verdana" w:hAnsi="Verdana" w:cs="Verdana"/>
          <w:sz w:val="22"/>
          <w:szCs w:val="22"/>
        </w:rPr>
        <w:t xml:space="preserve">l’apprezzamento secondo prudenza (da 0 ad 1) deve tener conto dei meccanismi di </w:t>
      </w:r>
      <w:r>
        <w:rPr>
          <w:rFonts w:ascii="Verdana" w:hAnsi="Verdana" w:cs="Verdana"/>
          <w:i/>
          <w:iCs/>
          <w:sz w:val="22"/>
          <w:szCs w:val="22"/>
        </w:rPr>
        <w:t>favor</w:t>
      </w:r>
      <w:r>
        <w:rPr>
          <w:rFonts w:ascii="Verdana" w:hAnsi="Verdana" w:cs="Verdana"/>
          <w:sz w:val="22"/>
          <w:szCs w:val="22"/>
        </w:rPr>
        <w:t>;</w:t>
      </w:r>
    </w:p>
    <w:p>
      <w:pPr>
        <w:pStyle w:val="49"/>
        <w:numPr>
          <w:ilvl w:val="0"/>
          <w:numId w:val="8"/>
        </w:numPr>
        <w:jc w:val="both"/>
        <w:rPr>
          <w:rFonts w:ascii="Verdana" w:hAnsi="Verdana" w:cs="Verdana"/>
          <w:sz w:val="22"/>
          <w:szCs w:val="22"/>
        </w:rPr>
      </w:pPr>
      <w:r>
        <w:rPr>
          <w:rFonts w:ascii="Verdana" w:hAnsi="Verdana" w:cs="Verdana"/>
          <w:sz w:val="22"/>
          <w:szCs w:val="22"/>
        </w:rPr>
        <w:t>per il principio di parità delle armi del processo, ex art. 111 Cost., da leggere in combinato disposto con l’art. 2697 c.c., dobbiamo considerare come vero che la differenza tra la sommatoria di tutte le prove dei fatti costitutivi e la prova di un solo fatto non costitutivo sia uguale a zero: ∑pfc – pfnc = 0;</w:t>
      </w:r>
    </w:p>
    <w:p>
      <w:pPr>
        <w:pStyle w:val="49"/>
        <w:numPr>
          <w:ilvl w:val="0"/>
          <w:numId w:val="8"/>
        </w:numPr>
        <w:jc w:val="both"/>
        <w:rPr>
          <w:rFonts w:ascii="Verdana" w:hAnsi="Verdana" w:cs="Verdana"/>
          <w:sz w:val="22"/>
          <w:szCs w:val="22"/>
        </w:rPr>
      </w:pPr>
      <w:r>
        <w:rPr>
          <w:rFonts w:ascii="Verdana" w:hAnsi="Verdana" w:cs="Verdana"/>
          <w:sz w:val="22"/>
          <w:szCs w:val="22"/>
        </w:rPr>
        <w:t>le prove a cui ci si riferisce sono quelle c.d. non legali</w:t>
      </w:r>
      <w:r>
        <w:rPr>
          <w:rFonts w:ascii="Verdana" w:hAnsi="Verdana" w:cs="Verdana"/>
          <w:sz w:val="22"/>
          <w:szCs w:val="22"/>
          <w:vertAlign w:val="superscript"/>
        </w:rPr>
        <w:footnoteReference w:id="11"/>
      </w:r>
      <w:r>
        <w:rPr>
          <w:rFonts w:ascii="Verdana" w:hAnsi="Verdana" w:cs="Verdana"/>
          <w:sz w:val="22"/>
          <w:szCs w:val="22"/>
        </w:rPr>
        <w:t>, in quanto a queste si applica il prudente apprezzamento del giudice ex art. 116 c.p.c.;</w:t>
      </w:r>
    </w:p>
    <w:p>
      <w:pPr>
        <w:pStyle w:val="49"/>
        <w:numPr>
          <w:ilvl w:val="0"/>
          <w:numId w:val="8"/>
        </w:numPr>
        <w:jc w:val="both"/>
        <w:rPr>
          <w:rFonts w:ascii="Verdana" w:hAnsi="Verdana" w:cs="Verdana"/>
          <w:sz w:val="22"/>
          <w:szCs w:val="22"/>
        </w:rPr>
      </w:pPr>
      <w:r>
        <w:rPr>
          <w:rFonts w:ascii="Verdana" w:hAnsi="Verdana" w:cs="Verdana"/>
          <w:sz w:val="22"/>
          <w:szCs w:val="22"/>
        </w:rPr>
        <w:t>la formula esposta (per ora) non è utilizzabile nel processo contumaciale;</w:t>
      </w:r>
    </w:p>
    <w:p>
      <w:pPr>
        <w:pStyle w:val="49"/>
        <w:numPr>
          <w:ilvl w:val="0"/>
          <w:numId w:val="8"/>
        </w:numPr>
        <w:jc w:val="both"/>
        <w:rPr>
          <w:rFonts w:ascii="Verdana" w:hAnsi="Verdana" w:cs="Verdana"/>
          <w:sz w:val="22"/>
          <w:szCs w:val="22"/>
        </w:rPr>
      </w:pPr>
      <w:r>
        <w:rPr>
          <w:rFonts w:ascii="Verdana" w:hAnsi="Verdana" w:cs="Verdana"/>
          <w:sz w:val="22"/>
          <w:szCs w:val="22"/>
        </w:rPr>
        <w:t>la formula esposta (per ora) può riguardare solo due parti del processo.</w:t>
      </w:r>
    </w:p>
    <w:p>
      <w:pPr>
        <w:pStyle w:val="49"/>
        <w:ind w:left="0"/>
        <w:jc w:val="both"/>
        <w:rPr>
          <w:rFonts w:ascii="Verdana" w:hAnsi="Verdana" w:cs="Verdana"/>
          <w:sz w:val="22"/>
          <w:szCs w:val="22"/>
        </w:rPr>
      </w:pPr>
    </w:p>
    <w:p>
      <w:pPr>
        <w:pStyle w:val="49"/>
        <w:ind w:left="0"/>
        <w:jc w:val="both"/>
        <w:rPr>
          <w:rFonts w:ascii="Verdana" w:hAnsi="Verdana" w:cs="Verdana"/>
          <w:sz w:val="22"/>
          <w:szCs w:val="22"/>
        </w:rPr>
      </w:pPr>
    </w:p>
    <w:p>
      <w:pPr>
        <w:pStyle w:val="49"/>
        <w:numPr>
          <w:ilvl w:val="1"/>
          <w:numId w:val="3"/>
        </w:numPr>
        <w:jc w:val="both"/>
        <w:rPr>
          <w:rFonts w:ascii="Verdana" w:hAnsi="Verdana" w:cs="Verdana"/>
          <w:b/>
          <w:bCs/>
          <w:sz w:val="22"/>
          <w:szCs w:val="22"/>
        </w:rPr>
      </w:pPr>
      <w:r>
        <w:rPr>
          <w:rFonts w:ascii="Verdana" w:hAnsi="Verdana" w:cs="Verdana"/>
          <w:b/>
          <w:bCs/>
          <w:sz w:val="22"/>
          <w:szCs w:val="22"/>
        </w:rPr>
        <w:t xml:space="preserve">Un esempio </w:t>
      </w:r>
    </w:p>
    <w:p>
      <w:pPr>
        <w:jc w:val="both"/>
        <w:rPr>
          <w:rFonts w:ascii="Verdana" w:hAnsi="Verdana" w:cs="Verdana"/>
          <w:sz w:val="22"/>
          <w:szCs w:val="22"/>
        </w:rPr>
      </w:pPr>
    </w:p>
    <w:p>
      <w:pPr>
        <w:jc w:val="both"/>
        <w:rPr>
          <w:rFonts w:ascii="Verdana" w:hAnsi="Verdana" w:cs="Verdana"/>
          <w:sz w:val="22"/>
          <w:szCs w:val="22"/>
        </w:rPr>
      </w:pPr>
      <w:r>
        <w:rPr>
          <w:rFonts w:ascii="Verdana" w:hAnsi="Verdana" w:cs="Verdana"/>
          <w:sz w:val="22"/>
          <w:szCs w:val="22"/>
        </w:rPr>
        <w:t>Ora procediamo al seguente esempio:</w:t>
      </w:r>
    </w:p>
    <w:p>
      <w:pPr>
        <w:jc w:val="both"/>
        <w:rPr>
          <w:rFonts w:ascii="Verdana" w:hAnsi="Verdana" w:cs="Verdana"/>
          <w:sz w:val="22"/>
          <w:szCs w:val="22"/>
        </w:rPr>
      </w:pPr>
      <w:r>
        <w:rPr>
          <w:rFonts w:ascii="Verdana" w:hAnsi="Verdana" w:cs="Verdana"/>
          <w:sz w:val="22"/>
          <w:szCs w:val="22"/>
        </w:rPr>
        <w:t>Tizio tira uno schiaffo a Caio, che subisce lesioni.</w:t>
      </w:r>
    </w:p>
    <w:p>
      <w:pPr>
        <w:jc w:val="both"/>
        <w:rPr>
          <w:rFonts w:ascii="Verdana" w:hAnsi="Verdana" w:cs="Verdana"/>
          <w:sz w:val="22"/>
          <w:szCs w:val="22"/>
        </w:rPr>
      </w:pPr>
    </w:p>
    <w:p>
      <w:pPr>
        <w:jc w:val="both"/>
        <w:rPr>
          <w:rFonts w:ascii="Verdana" w:hAnsi="Verdana" w:cs="Verdana"/>
          <w:sz w:val="22"/>
          <w:szCs w:val="22"/>
        </w:rPr>
      </w:pPr>
      <w:r>
        <w:rPr>
          <w:rFonts w:ascii="Verdana" w:hAnsi="Verdana" w:cs="Verdana"/>
          <w:sz w:val="22"/>
          <w:szCs w:val="22"/>
        </w:rPr>
        <w:t>Caio agisce processualmente, qualificando il fatto come illecito ex art. 2043 c.c.; ai sensi dell’art. 2697 c.c., Caio dovrà provare i fatti costitutivi della pretesa che sono</w:t>
      </w:r>
      <w:r>
        <w:rPr>
          <w:rFonts w:ascii="Verdana" w:hAnsi="Verdana" w:cs="Verdana"/>
          <w:sz w:val="22"/>
          <w:szCs w:val="22"/>
          <w:vertAlign w:val="superscript"/>
        </w:rPr>
        <w:footnoteReference w:id="12"/>
      </w:r>
      <w:r>
        <w:rPr>
          <w:rFonts w:ascii="Verdana" w:hAnsi="Verdana" w:cs="Verdana"/>
          <w:sz w:val="22"/>
          <w:szCs w:val="22"/>
        </w:rPr>
        <w:t>:</w:t>
      </w:r>
    </w:p>
    <w:p>
      <w:pPr>
        <w:pStyle w:val="49"/>
        <w:numPr>
          <w:ilvl w:val="0"/>
          <w:numId w:val="9"/>
        </w:numPr>
        <w:jc w:val="both"/>
        <w:rPr>
          <w:rFonts w:ascii="Verdana" w:hAnsi="Verdana" w:cs="Verdana"/>
          <w:sz w:val="22"/>
          <w:szCs w:val="22"/>
        </w:rPr>
      </w:pPr>
      <w:r>
        <w:rPr>
          <w:rFonts w:ascii="Verdana" w:hAnsi="Verdana" w:cs="Verdana"/>
          <w:sz w:val="22"/>
          <w:szCs w:val="22"/>
        </w:rPr>
        <w:t>coefficiente psicologico (dolo o colpa);</w:t>
      </w:r>
    </w:p>
    <w:p>
      <w:pPr>
        <w:pStyle w:val="49"/>
        <w:numPr>
          <w:ilvl w:val="0"/>
          <w:numId w:val="9"/>
        </w:numPr>
        <w:jc w:val="both"/>
        <w:rPr>
          <w:rFonts w:ascii="Verdana" w:hAnsi="Verdana" w:cs="Verdana"/>
          <w:sz w:val="22"/>
          <w:szCs w:val="22"/>
        </w:rPr>
      </w:pPr>
      <w:r>
        <w:rPr>
          <w:rFonts w:ascii="Verdana" w:hAnsi="Verdana" w:cs="Verdana"/>
          <w:sz w:val="22"/>
          <w:szCs w:val="22"/>
        </w:rPr>
        <w:t>causalità;</w:t>
      </w:r>
    </w:p>
    <w:p>
      <w:pPr>
        <w:pStyle w:val="49"/>
        <w:numPr>
          <w:ilvl w:val="0"/>
          <w:numId w:val="9"/>
        </w:numPr>
        <w:jc w:val="both"/>
        <w:rPr>
          <w:rFonts w:ascii="Verdana" w:hAnsi="Verdana" w:cs="Verdana"/>
          <w:sz w:val="22"/>
          <w:szCs w:val="22"/>
        </w:rPr>
      </w:pPr>
      <w:r>
        <w:rPr>
          <w:rFonts w:ascii="Verdana" w:hAnsi="Verdana" w:cs="Verdana"/>
          <w:sz w:val="22"/>
          <w:szCs w:val="22"/>
        </w:rPr>
        <w:t>danno.</w:t>
      </w:r>
    </w:p>
    <w:p>
      <w:pPr>
        <w:jc w:val="both"/>
        <w:rPr>
          <w:rFonts w:ascii="Verdana" w:hAnsi="Verdana" w:cs="Verdana"/>
          <w:sz w:val="22"/>
          <w:szCs w:val="22"/>
        </w:rPr>
      </w:pPr>
      <w:r>
        <w:rPr>
          <w:rFonts w:ascii="Verdana" w:hAnsi="Verdana" w:cs="Verdana"/>
          <w:sz w:val="22"/>
          <w:szCs w:val="22"/>
        </w:rPr>
        <w:t>Caio dimostra i fatti costitutivi così:</w:t>
      </w:r>
    </w:p>
    <w:p>
      <w:pPr>
        <w:pStyle w:val="49"/>
        <w:numPr>
          <w:ilvl w:val="0"/>
          <w:numId w:val="10"/>
        </w:numPr>
        <w:jc w:val="both"/>
        <w:rPr>
          <w:rFonts w:ascii="Verdana" w:hAnsi="Verdana" w:cs="Verdana"/>
          <w:sz w:val="22"/>
          <w:szCs w:val="22"/>
        </w:rPr>
      </w:pPr>
      <w:r>
        <w:rPr>
          <w:rFonts w:ascii="Verdana" w:hAnsi="Verdana" w:cs="Verdana"/>
          <w:sz w:val="22"/>
          <w:szCs w:val="22"/>
        </w:rPr>
        <w:t xml:space="preserve">coefficiente psicologico del dolo </w:t>
      </w:r>
      <w:bookmarkStart w:id="5" w:name="_Hlk73073316"/>
      <w:r>
        <w:rPr>
          <w:rFonts w:ascii="Verdana" w:hAnsi="Verdana" w:cs="Verdana"/>
          <w:sz w:val="22"/>
          <w:szCs w:val="22"/>
        </w:rPr>
        <w:t>attraverso la testimonianza di Sempronio che ha assistito al fatto, raccontando una dinamica rappresentativa di dolo (a);</w:t>
      </w:r>
      <w:bookmarkEnd w:id="5"/>
    </w:p>
    <w:p>
      <w:pPr>
        <w:pStyle w:val="49"/>
        <w:numPr>
          <w:ilvl w:val="0"/>
          <w:numId w:val="10"/>
        </w:numPr>
        <w:jc w:val="both"/>
        <w:rPr>
          <w:rFonts w:ascii="Verdana" w:hAnsi="Verdana" w:cs="Verdana"/>
          <w:sz w:val="22"/>
          <w:szCs w:val="22"/>
        </w:rPr>
      </w:pPr>
      <w:r>
        <w:rPr>
          <w:rFonts w:ascii="Verdana" w:hAnsi="Verdana" w:cs="Verdana"/>
          <w:sz w:val="22"/>
          <w:szCs w:val="22"/>
        </w:rPr>
        <w:t>causalità attraverso la testimonianza di Sempronio che ha assistito al fatto (b);</w:t>
      </w:r>
    </w:p>
    <w:p>
      <w:pPr>
        <w:pStyle w:val="49"/>
        <w:numPr>
          <w:ilvl w:val="0"/>
          <w:numId w:val="10"/>
        </w:numPr>
        <w:jc w:val="both"/>
        <w:rPr>
          <w:rFonts w:ascii="Verdana" w:hAnsi="Verdana" w:cs="Verdana"/>
          <w:sz w:val="22"/>
          <w:szCs w:val="22"/>
        </w:rPr>
      </w:pPr>
      <w:r>
        <w:rPr>
          <w:rFonts w:ascii="Verdana" w:hAnsi="Verdana" w:cs="Verdana"/>
          <w:sz w:val="22"/>
          <w:szCs w:val="22"/>
        </w:rPr>
        <w:t>danno attraverso il certificato rilasciato dall’ospedale Alfa (c).</w:t>
      </w:r>
    </w:p>
    <w:p>
      <w:pPr>
        <w:jc w:val="both"/>
        <w:rPr>
          <w:rFonts w:ascii="Verdana" w:hAnsi="Verdana" w:cs="Verdana"/>
          <w:sz w:val="22"/>
          <w:szCs w:val="22"/>
        </w:rPr>
      </w:pPr>
      <w:r>
        <w:rPr>
          <w:rFonts w:ascii="Verdana" w:hAnsi="Verdana" w:cs="Verdana"/>
          <w:sz w:val="22"/>
          <w:szCs w:val="22"/>
        </w:rPr>
        <w:t>Il giudice procede a sommare tutti i fatti costitutivi e moltiplicarli per VPA:</w:t>
      </w:r>
    </w:p>
    <w:p>
      <w:pPr>
        <w:jc w:val="both"/>
        <w:rPr>
          <w:rFonts w:ascii="Verdana" w:hAnsi="Verdana" w:cs="Verdana"/>
          <w:sz w:val="22"/>
          <w:szCs w:val="22"/>
        </w:rPr>
      </w:pPr>
      <w:r>
        <w:rPr>
          <w:rFonts w:ascii="Verdana" w:hAnsi="Verdana" w:cs="Verdana"/>
          <w:sz w:val="22"/>
          <w:szCs w:val="22"/>
        </w:rPr>
        <w:t>(a + b + c) VPAfc</w:t>
      </w:r>
    </w:p>
    <w:p>
      <w:pPr>
        <w:jc w:val="both"/>
        <w:rPr>
          <w:rFonts w:ascii="Verdana" w:hAnsi="Verdana" w:cs="Verdana"/>
          <w:sz w:val="22"/>
          <w:szCs w:val="22"/>
        </w:rPr>
      </w:pPr>
      <w:r>
        <w:rPr>
          <w:rFonts w:ascii="Verdana" w:hAnsi="Verdana" w:cs="Verdana"/>
          <w:sz w:val="22"/>
          <w:szCs w:val="22"/>
        </w:rPr>
        <w:t xml:space="preserve">Il giudice attribuisce a VPAfc il valore 0,8. </w:t>
      </w:r>
    </w:p>
    <w:p>
      <w:pPr>
        <w:jc w:val="both"/>
        <w:rPr>
          <w:rFonts w:ascii="Verdana" w:hAnsi="Verdana" w:cs="Verdana"/>
          <w:sz w:val="22"/>
          <w:szCs w:val="22"/>
        </w:rPr>
      </w:pPr>
      <w:r>
        <w:rPr>
          <w:rFonts w:ascii="Verdana" w:hAnsi="Verdana" w:cs="Verdana"/>
          <w:sz w:val="22"/>
          <w:szCs w:val="22"/>
        </w:rPr>
        <w:t>Per cui avremo:</w:t>
      </w:r>
    </w:p>
    <w:p>
      <w:pPr>
        <w:jc w:val="both"/>
        <w:rPr>
          <w:rFonts w:ascii="Verdana" w:hAnsi="Verdana" w:cs="Verdana"/>
          <w:sz w:val="22"/>
          <w:szCs w:val="22"/>
        </w:rPr>
      </w:pPr>
      <w:r>
        <w:rPr>
          <w:rFonts w:ascii="Verdana" w:hAnsi="Verdana" w:cs="Verdana"/>
          <w:sz w:val="22"/>
          <w:szCs w:val="22"/>
        </w:rPr>
        <w:t>(a+b+c) moltiplicato  0,8</w:t>
      </w:r>
    </w:p>
    <w:p>
      <w:pPr>
        <w:jc w:val="both"/>
        <w:rPr>
          <w:rFonts w:ascii="Verdana" w:hAnsi="Verdana" w:cs="Verdana"/>
          <w:sz w:val="22"/>
          <w:szCs w:val="22"/>
        </w:rPr>
      </w:pPr>
    </w:p>
    <w:p>
      <w:pPr>
        <w:jc w:val="both"/>
        <w:rPr>
          <w:rFonts w:ascii="Verdana" w:hAnsi="Verdana" w:cs="Verdana"/>
          <w:sz w:val="22"/>
          <w:szCs w:val="22"/>
        </w:rPr>
      </w:pPr>
      <w:r>
        <w:rPr>
          <w:rFonts w:ascii="Verdana" w:hAnsi="Verdana" w:cs="Verdana"/>
          <w:sz w:val="22"/>
          <w:szCs w:val="22"/>
        </w:rPr>
        <w:t>Tizio, convenuto in giudizio, prova un fatto non costitutivo (inefficacia, modificazione o estinzione, ex art. 2697 c.c.) con il testimone Caietta, che dichiara che Tizio ha reagito a Caio, mentre questo cercava di gettarlo da un fosso.</w:t>
      </w:r>
    </w:p>
    <w:p>
      <w:pPr>
        <w:jc w:val="both"/>
        <w:rPr>
          <w:rFonts w:ascii="Verdana" w:hAnsi="Verdana" w:cs="Verdana"/>
          <w:sz w:val="22"/>
          <w:szCs w:val="22"/>
        </w:rPr>
      </w:pPr>
      <w:r>
        <w:rPr>
          <w:rFonts w:ascii="Verdana" w:hAnsi="Verdana" w:cs="Verdana"/>
          <w:sz w:val="22"/>
          <w:szCs w:val="22"/>
        </w:rPr>
        <w:t>Qui il fatto è modificativo ex art. 2044 c.c.: chiamiamolo d)</w:t>
      </w:r>
    </w:p>
    <w:p>
      <w:pPr>
        <w:jc w:val="both"/>
        <w:rPr>
          <w:rFonts w:ascii="Verdana" w:hAnsi="Verdana" w:cs="Verdana"/>
          <w:sz w:val="22"/>
          <w:szCs w:val="22"/>
        </w:rPr>
      </w:pPr>
      <w:r>
        <w:rPr>
          <w:rFonts w:ascii="Verdana" w:hAnsi="Verdana" w:cs="Verdana"/>
          <w:sz w:val="22"/>
          <w:szCs w:val="22"/>
        </w:rPr>
        <w:t>Ebbene: il giudice attribuisce a d) il VPAfnc di 1.</w:t>
      </w:r>
    </w:p>
    <w:p>
      <w:pPr>
        <w:jc w:val="both"/>
        <w:rPr>
          <w:rFonts w:ascii="Verdana" w:hAnsi="Verdana" w:cs="Verdana"/>
          <w:sz w:val="22"/>
          <w:szCs w:val="22"/>
        </w:rPr>
      </w:pPr>
      <w:r>
        <w:rPr>
          <w:rFonts w:ascii="Verdana" w:hAnsi="Verdana" w:cs="Verdana"/>
          <w:sz w:val="22"/>
          <w:szCs w:val="22"/>
        </w:rPr>
        <w:t>Avremo allora che il fatto non costitutivo è: d (1)</w:t>
      </w:r>
    </w:p>
    <w:p>
      <w:pPr>
        <w:jc w:val="both"/>
        <w:rPr>
          <w:rFonts w:ascii="Verdana" w:hAnsi="Verdana" w:cs="Verdana"/>
          <w:sz w:val="22"/>
          <w:szCs w:val="22"/>
        </w:rPr>
      </w:pPr>
    </w:p>
    <w:p>
      <w:pPr>
        <w:jc w:val="both"/>
        <w:rPr>
          <w:rFonts w:ascii="Verdana" w:hAnsi="Verdana" w:cs="Verdana"/>
          <w:sz w:val="22"/>
          <w:szCs w:val="22"/>
        </w:rPr>
      </w:pPr>
      <w:r>
        <w:rPr>
          <w:rFonts w:ascii="Verdana" w:hAnsi="Verdana" w:cs="Verdana"/>
          <w:sz w:val="22"/>
          <w:szCs w:val="22"/>
        </w:rPr>
        <w:t>Pertanto avremo:</w:t>
      </w:r>
    </w:p>
    <w:p>
      <w:pPr>
        <w:jc w:val="both"/>
        <w:rPr>
          <w:rFonts w:ascii="Verdana" w:hAnsi="Verdana" w:cs="Verdana"/>
          <w:sz w:val="22"/>
          <w:szCs w:val="22"/>
        </w:rPr>
      </w:pPr>
      <w:r>
        <w:rPr>
          <w:rFonts w:ascii="Verdana" w:hAnsi="Verdana" w:cs="Verdana"/>
          <w:sz w:val="22"/>
          <w:szCs w:val="22"/>
        </w:rPr>
        <w:t xml:space="preserve">FP ≡ 1 &lt;=&gt; </w:t>
      </w:r>
      <w:bookmarkStart w:id="6" w:name="_Hlk73074971"/>
      <w:r>
        <w:rPr>
          <w:rFonts w:ascii="Verdana" w:hAnsi="Verdana" w:cs="Verdana"/>
          <w:sz w:val="22"/>
          <w:szCs w:val="22"/>
        </w:rPr>
        <w:t>(a+b+c) (0,8) &gt; d (1)</w:t>
      </w:r>
      <w:bookmarkEnd w:id="6"/>
    </w:p>
    <w:p>
      <w:pPr>
        <w:jc w:val="both"/>
        <w:rPr>
          <w:rFonts w:ascii="Verdana" w:hAnsi="Verdana" w:cs="Verdana"/>
          <w:sz w:val="22"/>
          <w:szCs w:val="22"/>
        </w:rPr>
      </w:pPr>
    </w:p>
    <w:p>
      <w:pPr>
        <w:jc w:val="both"/>
        <w:rPr>
          <w:rFonts w:ascii="Verdana" w:hAnsi="Verdana" w:cs="Verdana"/>
          <w:sz w:val="22"/>
          <w:szCs w:val="22"/>
        </w:rPr>
      </w:pPr>
      <w:r>
        <w:rPr>
          <w:rFonts w:ascii="Verdana" w:hAnsi="Verdana" w:cs="Verdana"/>
          <w:sz w:val="22"/>
          <w:szCs w:val="22"/>
        </w:rPr>
        <w:t>Sappiamo che:</w:t>
      </w:r>
    </w:p>
    <w:p>
      <w:pPr>
        <w:jc w:val="both"/>
        <w:rPr>
          <w:rFonts w:ascii="Verdana" w:hAnsi="Verdana" w:cs="Verdana"/>
          <w:sz w:val="22"/>
          <w:szCs w:val="22"/>
        </w:rPr>
      </w:pPr>
      <w:r>
        <w:rPr>
          <w:rFonts w:ascii="Verdana" w:hAnsi="Verdana" w:cs="Verdana"/>
          <w:sz w:val="22"/>
          <w:szCs w:val="22"/>
        </w:rPr>
        <w:t>∑pfc - pfnc = 0</w:t>
      </w:r>
    </w:p>
    <w:p>
      <w:pPr>
        <w:jc w:val="both"/>
        <w:rPr>
          <w:rFonts w:ascii="Verdana" w:hAnsi="Verdana" w:cs="Verdana"/>
          <w:sz w:val="22"/>
          <w:szCs w:val="22"/>
        </w:rPr>
      </w:pPr>
    </w:p>
    <w:p>
      <w:pPr>
        <w:jc w:val="both"/>
        <w:rPr>
          <w:rFonts w:ascii="Verdana" w:hAnsi="Verdana" w:cs="Verdana"/>
          <w:sz w:val="22"/>
          <w:szCs w:val="22"/>
        </w:rPr>
      </w:pPr>
      <w:r>
        <w:rPr>
          <w:rFonts w:ascii="Verdana" w:hAnsi="Verdana" w:cs="Verdana"/>
          <w:sz w:val="22"/>
          <w:szCs w:val="22"/>
        </w:rPr>
        <w:t xml:space="preserve">Pertanto: </w:t>
      </w:r>
    </w:p>
    <w:p>
      <w:pPr>
        <w:jc w:val="both"/>
        <w:rPr>
          <w:rFonts w:ascii="Verdana" w:hAnsi="Verdana" w:cs="Verdana"/>
          <w:sz w:val="22"/>
          <w:szCs w:val="22"/>
          <w:lang w:val="en-US"/>
        </w:rPr>
      </w:pPr>
      <w:r>
        <w:rPr>
          <w:rFonts w:ascii="Verdana" w:hAnsi="Verdana" w:cs="Verdana"/>
          <w:sz w:val="22"/>
          <w:szCs w:val="22"/>
          <w:lang w:val="en-US"/>
        </w:rPr>
        <w:t>(a+b+c) – d = 0 =&gt; (a+b+c) (0,8) &lt; d (1) =&gt; FP ≠ 1</w:t>
      </w:r>
    </w:p>
    <w:p>
      <w:pPr>
        <w:jc w:val="both"/>
        <w:rPr>
          <w:rFonts w:ascii="Verdana" w:hAnsi="Verdana" w:cs="Verdana"/>
          <w:sz w:val="22"/>
          <w:szCs w:val="22"/>
          <w:lang w:val="en-US"/>
        </w:rPr>
      </w:pPr>
    </w:p>
    <w:p>
      <w:pPr>
        <w:jc w:val="both"/>
        <w:rPr>
          <w:rFonts w:ascii="Verdana" w:hAnsi="Verdana" w:cs="Verdana"/>
          <w:sz w:val="22"/>
          <w:szCs w:val="22"/>
        </w:rPr>
      </w:pPr>
      <w:r>
        <w:rPr>
          <w:rFonts w:ascii="Verdana" w:hAnsi="Verdana" w:cs="Verdana"/>
          <w:sz w:val="22"/>
          <w:szCs w:val="22"/>
        </w:rPr>
        <w:t>Il fatto costitutivo è stato sufficientemente provato, ma in concreto neutralizzato dal fatto non costitutivo (modificativo). Il giudice non deve condannare Tizio perché il fatto non è provato.</w:t>
      </w:r>
    </w:p>
    <w:p>
      <w:pPr>
        <w:rPr>
          <w:rFonts w:ascii="Verdana" w:hAnsi="Verdana" w:cs="Verdana"/>
          <w:sz w:val="22"/>
          <w:szCs w:val="22"/>
        </w:rPr>
      </w:pPr>
    </w:p>
    <w:p>
      <w:pPr>
        <w:numPr>
          <w:ilvl w:val="1"/>
          <w:numId w:val="3"/>
        </w:numPr>
        <w:rPr>
          <w:rFonts w:ascii="Verdana" w:hAnsi="Verdana" w:cs="Verdana"/>
          <w:b/>
          <w:bCs/>
          <w:sz w:val="22"/>
          <w:szCs w:val="22"/>
        </w:rPr>
      </w:pPr>
      <w:r>
        <w:rPr>
          <w:rFonts w:ascii="Verdana" w:hAnsi="Verdana" w:cs="Verdana"/>
          <w:b/>
          <w:bCs/>
          <w:sz w:val="22"/>
          <w:szCs w:val="22"/>
        </w:rPr>
        <w:t xml:space="preserve">Il criterio del </w:t>
      </w:r>
      <w:r>
        <w:rPr>
          <w:rFonts w:ascii="Verdana" w:hAnsi="Verdana" w:cs="Verdana"/>
          <w:b/>
          <w:bCs/>
          <w:i/>
          <w:iCs/>
          <w:sz w:val="22"/>
          <w:szCs w:val="22"/>
        </w:rPr>
        <w:t xml:space="preserve">più probabile che non </w:t>
      </w:r>
      <w:r>
        <w:rPr>
          <w:rFonts w:ascii="Verdana" w:hAnsi="Verdana" w:cs="Verdana"/>
          <w:b/>
          <w:bCs/>
          <w:sz w:val="22"/>
          <w:szCs w:val="22"/>
        </w:rPr>
        <w:t>e presunzione semplice</w:t>
      </w:r>
    </w:p>
    <w:p>
      <w:pPr>
        <w:rPr>
          <w:rFonts w:ascii="Verdana" w:hAnsi="Verdana" w:cs="Verdana"/>
          <w:sz w:val="22"/>
          <w:szCs w:val="22"/>
        </w:rPr>
      </w:pPr>
    </w:p>
    <w:p>
      <w:pPr>
        <w:jc w:val="both"/>
        <w:rPr>
          <w:rFonts w:ascii="Verdana" w:hAnsi="Verdana" w:cs="Verdana"/>
          <w:sz w:val="22"/>
          <w:szCs w:val="22"/>
        </w:rPr>
      </w:pPr>
      <w:r>
        <w:rPr>
          <w:rFonts w:ascii="Verdana" w:hAnsi="Verdana" w:cs="Verdana"/>
          <w:sz w:val="22"/>
          <w:szCs w:val="22"/>
        </w:rPr>
        <w:t xml:space="preserve">Relativamente al grado di sufficienza probatora (c.d. </w:t>
      </w:r>
      <w:r>
        <w:rPr>
          <w:rFonts w:ascii="Verdana" w:hAnsi="Verdana" w:cs="Verdana"/>
          <w:i/>
          <w:iCs/>
          <w:sz w:val="22"/>
          <w:szCs w:val="22"/>
        </w:rPr>
        <w:t>standard</w:t>
      </w:r>
      <w:r>
        <w:rPr>
          <w:rFonts w:ascii="Verdana" w:hAnsi="Verdana" w:cs="Verdana"/>
          <w:sz w:val="22"/>
          <w:szCs w:val="22"/>
        </w:rPr>
        <w:t xml:space="preserve"> probatorio), la giurisprudenza prevalente</w:t>
      </w:r>
      <w:r>
        <w:rPr>
          <w:rStyle w:val="13"/>
          <w:rFonts w:ascii="Verdana" w:hAnsi="Verdana" w:cs="Verdana"/>
          <w:sz w:val="22"/>
          <w:szCs w:val="22"/>
        </w:rPr>
        <w:footnoteReference w:id="13"/>
      </w:r>
      <w:r>
        <w:rPr>
          <w:rFonts w:ascii="Verdana" w:hAnsi="Verdana" w:cs="Verdana"/>
          <w:sz w:val="22"/>
          <w:szCs w:val="22"/>
        </w:rPr>
        <w:t xml:space="preserve"> è orientata ad utilizzare il criterio del c.d. </w:t>
      </w:r>
      <w:r>
        <w:rPr>
          <w:rFonts w:ascii="Verdana" w:hAnsi="Verdana" w:cs="Verdana"/>
          <w:i/>
          <w:iCs/>
          <w:sz w:val="22"/>
          <w:szCs w:val="22"/>
        </w:rPr>
        <w:t>più probabile che non</w:t>
      </w:r>
      <w:r>
        <w:rPr>
          <w:rFonts w:ascii="Verdana" w:hAnsi="Verdana" w:cs="Verdana"/>
          <w:sz w:val="22"/>
          <w:szCs w:val="22"/>
        </w:rPr>
        <w:t xml:space="preserve"> e prevalenza relativa: </w:t>
      </w:r>
    </w:p>
    <w:p>
      <w:pPr>
        <w:jc w:val="both"/>
        <w:rPr>
          <w:rFonts w:ascii="Verdana" w:hAnsi="Verdana" w:cs="Verdana"/>
          <w:i/>
          <w:iCs/>
          <w:sz w:val="22"/>
          <w:szCs w:val="22"/>
        </w:rPr>
      </w:pPr>
      <w:r>
        <w:rPr>
          <w:rFonts w:ascii="Verdana" w:hAnsi="Verdana" w:cs="Verdana"/>
          <w:sz w:val="22"/>
          <w:szCs w:val="22"/>
        </w:rPr>
        <w:t>-</w:t>
      </w:r>
      <w:r>
        <w:rPr>
          <w:rFonts w:ascii="Verdana" w:hAnsi="Verdana" w:cs="Verdana"/>
          <w:i/>
          <w:iCs/>
          <w:sz w:val="22"/>
          <w:szCs w:val="22"/>
        </w:rPr>
        <w:t>la regola del “più probabile che non”, in particolare – per riprendere tale impostazione dommatica – “implica che rispetto ad ogni enunciato si consideri l’eventualità che esso possa essere vero o falso, ossia che sul medesimo fatto vi siano un’ipotesi positiva ed una complementare ipotesi negativa”, sicchè, tra queste due ipotesi alternative, “il giudice deve scegliere quella che, in base alle prove disponibili, ha un grado di conferma logica superiore all’altra: sarebbe infatti irrazionale preferire l’ipotesi che è meno probabile dell’ipotesi inversa”. In altri termini, l’affermazione della verità dell’enunciato implica “che vi siano prove preponderanti a sostegno di essa: ciò accade quando vi sono una o più prove dirette – di cui è sicura la credibilità o l’autenticità – che confermano quell’ipotesi, oppure vi sono una o più prove indirette dalle quali si possono derivare validamente inferenze convergenti a sostegno di essa”.</w:t>
      </w:r>
    </w:p>
    <w:p>
      <w:pPr>
        <w:jc w:val="both"/>
        <w:rPr>
          <w:rFonts w:ascii="Verdana" w:hAnsi="Verdana" w:cs="Verdana"/>
          <w:i/>
          <w:iCs/>
          <w:sz w:val="22"/>
          <w:szCs w:val="22"/>
        </w:rPr>
      </w:pPr>
      <w:r>
        <w:rPr>
          <w:rFonts w:ascii="Verdana" w:hAnsi="Verdana" w:cs="Verdana"/>
          <w:i/>
          <w:iCs/>
          <w:sz w:val="22"/>
          <w:szCs w:val="22"/>
        </w:rPr>
        <w:t>-per parte propria, la regola della “prevalenza relativa” della probabilità, rileva – quanto al nesso causale, nel caso di cd. “multifattorialità” nella produzione di un evento dannoso (ovvero quando all’ipotesi, formulata dall’attore, in ordine all’eziologia dell’evento stesso, possano affiancarsene altre) – allorchè “sullo stesso fatto esistano diverse ipotesi, ossia diversi enunciati che narrano il fatto in modi diversi, e che queste ipotesi abbiano ricevuto qualche conferma positiva dalle prove acquisite al giudizio”, dovendo, invero, essere prese in considerazione “solo le ipotesi che sono risultate “più probabili che non”, poichè le ipotesi negative prevalenti non rilevano”. Orbene, ricorrendo tale evenienza, vale a dire se “vi sono più enunciati sullo stesso fatto che hanno ricevuto conferma probatoria, la regola della prevalenza relativa” – sempre secondo l’impostazione dottrinaria di cui sopra – “implica che il giudice scelga come “vero” l’enunciato che ha ricevuto il grado relativamente maggiore di conferma sulla base delle prove disponibili”.</w:t>
      </w:r>
    </w:p>
    <w:p>
      <w:pPr>
        <w:jc w:val="both"/>
        <w:rPr>
          <w:rFonts w:ascii="Verdana" w:hAnsi="Verdana" w:cs="Verdana"/>
          <w:sz w:val="22"/>
          <w:szCs w:val="22"/>
        </w:rPr>
      </w:pPr>
      <w:r>
        <w:rPr>
          <w:rFonts w:ascii="Verdana" w:hAnsi="Verdana" w:cs="Verdana"/>
          <w:sz w:val="22"/>
          <w:szCs w:val="22"/>
        </w:rPr>
        <w:t xml:space="preserve">Per la precisione, tale </w:t>
      </w:r>
      <w:r>
        <w:rPr>
          <w:rFonts w:ascii="Verdana" w:hAnsi="Verdana" w:cs="Verdana"/>
          <w:i/>
          <w:iCs/>
          <w:sz w:val="22"/>
          <w:szCs w:val="22"/>
        </w:rPr>
        <w:t>standard</w:t>
      </w:r>
      <w:r>
        <w:rPr>
          <w:rFonts w:ascii="Verdana" w:hAnsi="Verdana" w:cs="Verdana"/>
          <w:sz w:val="22"/>
          <w:szCs w:val="22"/>
        </w:rPr>
        <w:t xml:space="preserve"> è utilizzato dalla giurisprudenza di legittimità:</w:t>
      </w:r>
    </w:p>
    <w:p>
      <w:pPr>
        <w:jc w:val="both"/>
        <w:rPr>
          <w:rFonts w:ascii="Verdana" w:hAnsi="Verdana" w:cs="Verdana"/>
          <w:sz w:val="22"/>
          <w:szCs w:val="22"/>
        </w:rPr>
      </w:pPr>
      <w:r>
        <w:rPr>
          <w:rFonts w:ascii="Verdana" w:hAnsi="Verdana" w:cs="Verdana"/>
          <w:sz w:val="22"/>
          <w:szCs w:val="22"/>
        </w:rPr>
        <w:t>-alcune volte con riguardo a tutti gli elementi costitutivi dell’illecito</w:t>
      </w:r>
      <w:r>
        <w:rPr>
          <w:rStyle w:val="13"/>
          <w:rFonts w:ascii="Verdana" w:hAnsi="Verdana" w:cs="Verdana"/>
          <w:sz w:val="22"/>
          <w:szCs w:val="22"/>
        </w:rPr>
        <w:footnoteReference w:id="14"/>
      </w:r>
      <w:r>
        <w:rPr>
          <w:rFonts w:ascii="Verdana" w:hAnsi="Verdana" w:cs="Verdana"/>
          <w:sz w:val="22"/>
          <w:szCs w:val="22"/>
        </w:rPr>
        <w:t>;</w:t>
      </w:r>
    </w:p>
    <w:p>
      <w:pPr>
        <w:jc w:val="both"/>
        <w:rPr>
          <w:rFonts w:ascii="Verdana" w:hAnsi="Verdana" w:cs="Verdana"/>
          <w:sz w:val="22"/>
          <w:szCs w:val="22"/>
        </w:rPr>
      </w:pPr>
      <w:r>
        <w:rPr>
          <w:rFonts w:ascii="Verdana" w:hAnsi="Verdana" w:cs="Verdana"/>
          <w:sz w:val="22"/>
          <w:szCs w:val="22"/>
        </w:rPr>
        <w:t>-altre volte con riguardo al solo nesso causale</w:t>
      </w:r>
      <w:r>
        <w:rPr>
          <w:rStyle w:val="13"/>
          <w:rFonts w:ascii="Verdana" w:hAnsi="Verdana" w:cs="Verdana"/>
          <w:sz w:val="22"/>
          <w:szCs w:val="22"/>
        </w:rPr>
        <w:footnoteReference w:id="15"/>
      </w:r>
      <w:r>
        <w:rPr>
          <w:rFonts w:ascii="Verdana" w:hAnsi="Verdana" w:cs="Verdana"/>
          <w:sz w:val="22"/>
          <w:szCs w:val="22"/>
        </w:rPr>
        <w:t>.</w:t>
      </w:r>
    </w:p>
    <w:p>
      <w:pPr>
        <w:jc w:val="both"/>
        <w:rPr>
          <w:rFonts w:ascii="Verdana" w:hAnsi="Verdana" w:cs="Verdana"/>
          <w:sz w:val="22"/>
          <w:szCs w:val="22"/>
        </w:rPr>
      </w:pPr>
      <w:r>
        <w:rPr>
          <w:rFonts w:ascii="Verdana" w:hAnsi="Verdana" w:cs="Verdana"/>
          <w:sz w:val="22"/>
          <w:szCs w:val="22"/>
        </w:rPr>
        <w:t>In ogni caso, la probabilità di riferimento non è quella quantitativa, ma logica o baconiana</w:t>
      </w:r>
      <w:r>
        <w:rPr>
          <w:rStyle w:val="13"/>
          <w:rFonts w:ascii="Verdana" w:hAnsi="Verdana" w:cs="Verdana"/>
          <w:sz w:val="22"/>
          <w:szCs w:val="22"/>
        </w:rPr>
        <w:footnoteReference w:id="16"/>
      </w:r>
      <w:r>
        <w:rPr>
          <w:rFonts w:ascii="Verdana" w:hAnsi="Verdana" w:cs="Verdana"/>
          <w:sz w:val="22"/>
          <w:szCs w:val="22"/>
        </w:rPr>
        <w:t>.</w:t>
      </w:r>
    </w:p>
    <w:p>
      <w:pPr>
        <w:jc w:val="both"/>
        <w:rPr>
          <w:rFonts w:ascii="Verdana" w:hAnsi="Verdana" w:cs="Verdana"/>
          <w:sz w:val="22"/>
          <w:szCs w:val="22"/>
        </w:rPr>
      </w:pPr>
      <w:r>
        <w:rPr>
          <w:rFonts w:ascii="Verdana" w:hAnsi="Verdana" w:cs="Verdana"/>
          <w:sz w:val="22"/>
          <w:szCs w:val="22"/>
        </w:rPr>
        <w:t xml:space="preserve">Ebbene, che natura giuridica ha detto criterio del </w:t>
      </w:r>
      <w:r>
        <w:rPr>
          <w:rFonts w:ascii="Verdana" w:hAnsi="Verdana" w:cs="Verdana"/>
          <w:i/>
          <w:iCs/>
          <w:sz w:val="22"/>
          <w:szCs w:val="22"/>
        </w:rPr>
        <w:t>più probabile che non</w:t>
      </w:r>
      <w:r>
        <w:rPr>
          <w:rFonts w:ascii="Verdana" w:hAnsi="Verdana" w:cs="Verdana"/>
          <w:sz w:val="22"/>
          <w:szCs w:val="22"/>
        </w:rPr>
        <w:t>?</w:t>
      </w:r>
    </w:p>
    <w:p>
      <w:pPr>
        <w:jc w:val="both"/>
        <w:rPr>
          <w:rFonts w:ascii="Verdana" w:hAnsi="Verdana" w:cs="Verdana"/>
          <w:sz w:val="22"/>
          <w:szCs w:val="22"/>
        </w:rPr>
      </w:pPr>
      <w:r>
        <w:rPr>
          <w:rFonts w:ascii="Verdana" w:hAnsi="Verdana" w:cs="Verdana"/>
          <w:sz w:val="22"/>
          <w:szCs w:val="22"/>
        </w:rPr>
        <w:t xml:space="preserve">La domanda è legittima per le ragioni dell’assenza di un riferimento normativo espresso e della provenienza da sistemi di </w:t>
      </w:r>
      <w:r>
        <w:rPr>
          <w:rFonts w:ascii="Verdana" w:hAnsi="Verdana" w:cs="Verdana"/>
          <w:i/>
          <w:iCs/>
          <w:sz w:val="22"/>
          <w:szCs w:val="22"/>
        </w:rPr>
        <w:t>common law</w:t>
      </w:r>
      <w:r>
        <w:rPr>
          <w:rStyle w:val="13"/>
          <w:rFonts w:ascii="Verdana" w:hAnsi="Verdana" w:cs="Verdana"/>
          <w:sz w:val="22"/>
          <w:szCs w:val="22"/>
        </w:rPr>
        <w:footnoteReference w:id="17"/>
      </w:r>
      <w:r>
        <w:rPr>
          <w:rFonts w:ascii="Verdana" w:hAnsi="Verdana" w:cs="Verdana"/>
          <w:sz w:val="22"/>
          <w:szCs w:val="22"/>
        </w:rPr>
        <w:t xml:space="preserve"> diversi dal nostro.</w:t>
      </w:r>
    </w:p>
    <w:p>
      <w:pPr>
        <w:jc w:val="both"/>
        <w:rPr>
          <w:rFonts w:ascii="Verdana" w:hAnsi="Verdana" w:cs="Verdana"/>
          <w:sz w:val="22"/>
          <w:szCs w:val="22"/>
        </w:rPr>
      </w:pPr>
      <w:r>
        <w:rPr>
          <w:rFonts w:ascii="Verdana" w:hAnsi="Verdana" w:cs="Verdana"/>
          <w:sz w:val="22"/>
          <w:szCs w:val="22"/>
        </w:rPr>
        <w:t xml:space="preserve">Si ritiene di rispondere così: il </w:t>
      </w:r>
      <w:r>
        <w:rPr>
          <w:rFonts w:ascii="Verdana" w:hAnsi="Verdana" w:cs="Verdana"/>
          <w:i/>
          <w:iCs/>
          <w:sz w:val="22"/>
          <w:szCs w:val="22"/>
        </w:rPr>
        <w:t>più probabile che non</w:t>
      </w:r>
      <w:r>
        <w:rPr>
          <w:rFonts w:ascii="Verdana" w:hAnsi="Verdana" w:cs="Verdana"/>
          <w:sz w:val="22"/>
          <w:szCs w:val="22"/>
        </w:rPr>
        <w:t xml:space="preserve"> è una forma di presunzione semplice</w:t>
      </w:r>
      <w:r>
        <w:rPr>
          <w:rStyle w:val="13"/>
          <w:rFonts w:ascii="Verdana" w:hAnsi="Verdana" w:cs="Verdana"/>
          <w:sz w:val="22"/>
          <w:szCs w:val="22"/>
        </w:rPr>
        <w:footnoteReference w:id="18"/>
      </w:r>
      <w:r>
        <w:rPr>
          <w:rFonts w:ascii="Verdana" w:hAnsi="Verdana" w:cs="Verdana"/>
          <w:sz w:val="22"/>
          <w:szCs w:val="22"/>
        </w:rPr>
        <w:t>, in linea con gli artt. 2727-2729 c.c., perchè si trae da un fatto noto (ad esempio il danno) un fatto ignoto (ad esempio la causa).</w:t>
      </w:r>
    </w:p>
    <w:p>
      <w:pPr>
        <w:jc w:val="both"/>
        <w:rPr>
          <w:rFonts w:ascii="Verdana" w:hAnsi="Verdana" w:cs="Verdana"/>
          <w:sz w:val="22"/>
          <w:szCs w:val="22"/>
        </w:rPr>
      </w:pPr>
      <w:r>
        <w:rPr>
          <w:rFonts w:ascii="Verdana" w:hAnsi="Verdana" w:cs="Verdana"/>
          <w:sz w:val="22"/>
          <w:szCs w:val="22"/>
        </w:rPr>
        <w:t>Ciò implica che:</w:t>
      </w:r>
    </w:p>
    <w:p>
      <w:pPr>
        <w:jc w:val="both"/>
        <w:rPr>
          <w:rFonts w:ascii="Verdana" w:hAnsi="Verdana" w:cs="Verdana"/>
          <w:i/>
          <w:iCs/>
          <w:sz w:val="22"/>
          <w:szCs w:val="22"/>
        </w:rPr>
      </w:pPr>
      <w:r>
        <w:rPr>
          <w:rFonts w:ascii="Verdana" w:hAnsi="Verdana" w:cs="Verdana"/>
          <w:sz w:val="22"/>
          <w:szCs w:val="22"/>
        </w:rPr>
        <w:t>-il fatto noto, da cui si trae quello ignorato, deve essere certo</w:t>
      </w:r>
      <w:r>
        <w:rPr>
          <w:rStyle w:val="13"/>
          <w:rFonts w:ascii="Verdana" w:hAnsi="Verdana" w:cs="Verdana"/>
          <w:sz w:val="22"/>
          <w:szCs w:val="22"/>
        </w:rPr>
        <w:footnoteReference w:id="19"/>
      </w:r>
      <w:r>
        <w:rPr>
          <w:rFonts w:ascii="Verdana" w:hAnsi="Verdana" w:cs="Verdana"/>
          <w:sz w:val="22"/>
          <w:szCs w:val="22"/>
        </w:rPr>
        <w:t>; la conseguenza è che non si può ammettere una presunzione da altra presunzione perchè vorrebbe dire trarre un fatto ignorato da altro ignorato</w:t>
      </w:r>
      <w:r>
        <w:rPr>
          <w:rStyle w:val="13"/>
          <w:rFonts w:ascii="Verdana" w:hAnsi="Verdana" w:cs="Verdana"/>
          <w:sz w:val="22"/>
          <w:szCs w:val="22"/>
        </w:rPr>
        <w:footnoteReference w:id="20"/>
      </w:r>
      <w:r>
        <w:rPr>
          <w:rFonts w:ascii="Verdana" w:hAnsi="Verdana" w:cs="Verdana"/>
          <w:sz w:val="22"/>
          <w:szCs w:val="22"/>
        </w:rPr>
        <w:t xml:space="preserve"> (c.d. </w:t>
      </w:r>
      <w:r>
        <w:rPr>
          <w:rFonts w:ascii="Verdana" w:hAnsi="Verdana" w:cs="Verdana"/>
          <w:i/>
          <w:iCs/>
          <w:sz w:val="22"/>
          <w:szCs w:val="22"/>
        </w:rPr>
        <w:t>praesumptio de praesumpto</w:t>
      </w:r>
      <w:r>
        <w:rPr>
          <w:rStyle w:val="13"/>
          <w:rFonts w:ascii="Verdana" w:hAnsi="Verdana" w:cs="Verdana"/>
          <w:i/>
          <w:iCs/>
          <w:sz w:val="22"/>
          <w:szCs w:val="22"/>
        </w:rPr>
        <w:footnoteReference w:id="21"/>
      </w:r>
      <w:r>
        <w:rPr>
          <w:rFonts w:ascii="Verdana" w:hAnsi="Verdana" w:cs="Verdana"/>
          <w:i/>
          <w:iCs/>
          <w:sz w:val="22"/>
          <w:szCs w:val="22"/>
        </w:rPr>
        <w:t xml:space="preserve">); </w:t>
      </w:r>
    </w:p>
    <w:p>
      <w:pPr>
        <w:jc w:val="both"/>
        <w:rPr>
          <w:rFonts w:ascii="Verdana" w:hAnsi="Verdana" w:cs="Verdana"/>
          <w:sz w:val="22"/>
          <w:szCs w:val="22"/>
        </w:rPr>
      </w:pPr>
      <w:r>
        <w:rPr>
          <w:rFonts w:ascii="Verdana" w:hAnsi="Verdana" w:cs="Verdana"/>
          <w:sz w:val="22"/>
          <w:szCs w:val="22"/>
        </w:rPr>
        <w:t>-è necessario utilizzare un criterio selettivo di gravità, precisione e concordanza</w:t>
      </w:r>
      <w:r>
        <w:rPr>
          <w:rStyle w:val="13"/>
          <w:rFonts w:ascii="Verdana" w:hAnsi="Verdana" w:cs="Verdana"/>
          <w:sz w:val="22"/>
          <w:szCs w:val="22"/>
        </w:rPr>
        <w:footnoteReference w:id="22"/>
      </w:r>
      <w:r>
        <w:rPr>
          <w:rFonts w:ascii="Verdana" w:hAnsi="Verdana" w:cs="Verdana"/>
          <w:sz w:val="22"/>
          <w:szCs w:val="22"/>
        </w:rPr>
        <w:t>, con la conseguenza che la prova non potrebbe dirsi raggiunta in assenza del soddisfacimento di detto criterio.</w:t>
      </w:r>
    </w:p>
    <w:p>
      <w:pPr>
        <w:jc w:val="both"/>
        <w:rPr>
          <w:rFonts w:ascii="Verdana" w:hAnsi="Verdana" w:cs="Verdana"/>
          <w:sz w:val="22"/>
          <w:szCs w:val="22"/>
        </w:rPr>
      </w:pPr>
      <w:r>
        <w:rPr>
          <w:rFonts w:ascii="Verdana" w:hAnsi="Verdana" w:cs="Verdana"/>
          <w:sz w:val="22"/>
          <w:szCs w:val="22"/>
        </w:rPr>
        <w:t>Si potrebbe anche aggiungere che:</w:t>
      </w:r>
    </w:p>
    <w:p>
      <w:pPr>
        <w:jc w:val="both"/>
        <w:rPr>
          <w:rFonts w:ascii="Verdana" w:hAnsi="Verdana" w:cs="Verdana"/>
          <w:sz w:val="22"/>
          <w:szCs w:val="22"/>
        </w:rPr>
      </w:pPr>
      <w:r>
        <w:rPr>
          <w:rFonts w:ascii="Verdana" w:hAnsi="Verdana" w:cs="Verdana"/>
          <w:sz w:val="22"/>
          <w:szCs w:val="22"/>
        </w:rPr>
        <w:t>-se il legislatore chiede il soddisfacimento dei requisiti di gravità, precisione e concordanza (art. 2729 c.c.) per le presunzioni semplici, allora ben potrebbe averlo preteso per tutte le prove</w:t>
      </w:r>
      <w:r>
        <w:rPr>
          <w:rStyle w:val="13"/>
          <w:rFonts w:ascii="Verdana" w:hAnsi="Verdana" w:cs="Verdana"/>
          <w:sz w:val="22"/>
          <w:szCs w:val="22"/>
        </w:rPr>
        <w:footnoteReference w:id="23"/>
      </w:r>
      <w:r>
        <w:rPr>
          <w:rFonts w:ascii="Verdana" w:hAnsi="Verdana" w:cs="Verdana"/>
          <w:sz w:val="22"/>
          <w:szCs w:val="22"/>
        </w:rPr>
        <w:t>, così da innalzare il livello di sufficienza probatoria a questi;</w:t>
      </w:r>
    </w:p>
    <w:p>
      <w:pPr>
        <w:jc w:val="both"/>
        <w:rPr>
          <w:rFonts w:ascii="Verdana" w:hAnsi="Verdana" w:cs="Verdana"/>
          <w:sz w:val="22"/>
          <w:szCs w:val="22"/>
        </w:rPr>
      </w:pPr>
      <w:r>
        <w:rPr>
          <w:rFonts w:ascii="Verdana" w:hAnsi="Verdana" w:cs="Verdana"/>
          <w:sz w:val="22"/>
          <w:szCs w:val="22"/>
        </w:rPr>
        <w:t>-il difetto della selezione dei requisiti richiamati</w:t>
      </w:r>
      <w:r>
        <w:rPr>
          <w:rStyle w:val="13"/>
          <w:rFonts w:ascii="Verdana" w:hAnsi="Verdana" w:cs="Verdana"/>
          <w:sz w:val="22"/>
          <w:szCs w:val="22"/>
        </w:rPr>
        <w:footnoteReference w:id="24"/>
      </w:r>
      <w:r>
        <w:rPr>
          <w:rFonts w:ascii="Verdana" w:hAnsi="Verdana" w:cs="Verdana"/>
          <w:sz w:val="22"/>
          <w:szCs w:val="22"/>
        </w:rPr>
        <w:t xml:space="preserve"> (in sede di </w:t>
      </w:r>
      <w:r>
        <w:rPr>
          <w:rFonts w:ascii="Verdana" w:hAnsi="Verdana" w:cs="Verdana"/>
          <w:i/>
          <w:iCs/>
          <w:sz w:val="22"/>
          <w:szCs w:val="22"/>
        </w:rPr>
        <w:t>più probabile che non</w:t>
      </w:r>
      <w:r>
        <w:rPr>
          <w:rFonts w:ascii="Verdana" w:hAnsi="Verdana" w:cs="Verdana"/>
          <w:sz w:val="22"/>
          <w:szCs w:val="22"/>
        </w:rPr>
        <w:t>), ne potrebbe legittimare</w:t>
      </w:r>
      <w:r>
        <w:rPr>
          <w:rStyle w:val="13"/>
          <w:rFonts w:ascii="Verdana" w:hAnsi="Verdana" w:cs="Verdana"/>
          <w:sz w:val="22"/>
          <w:szCs w:val="22"/>
        </w:rPr>
        <w:footnoteReference w:id="25"/>
      </w:r>
      <w:r>
        <w:rPr>
          <w:rFonts w:ascii="Verdana" w:hAnsi="Verdana" w:cs="Verdana"/>
          <w:sz w:val="22"/>
          <w:szCs w:val="22"/>
        </w:rPr>
        <w:t xml:space="preserve"> la ricorribilità per Cassazione</w:t>
      </w:r>
      <w:r>
        <w:rPr>
          <w:rStyle w:val="13"/>
          <w:rFonts w:ascii="Verdana" w:hAnsi="Verdana" w:cs="Verdana"/>
          <w:sz w:val="22"/>
          <w:szCs w:val="22"/>
        </w:rPr>
        <w:footnoteReference w:id="26"/>
      </w:r>
      <w:r>
        <w:rPr>
          <w:rFonts w:ascii="Verdana" w:hAnsi="Verdana" w:cs="Verdana"/>
          <w:sz w:val="22"/>
          <w:szCs w:val="22"/>
        </w:rPr>
        <w:t xml:space="preserve"> ex art. 360, n. 3 c.p.c.</w:t>
      </w:r>
    </w:p>
    <w:p>
      <w:pPr>
        <w:rPr>
          <w:rFonts w:ascii="Verdana" w:hAnsi="Verdana" w:cs="Verdana"/>
          <w:i/>
          <w:iCs/>
          <w:sz w:val="22"/>
          <w:szCs w:val="22"/>
        </w:rPr>
      </w:pPr>
    </w:p>
    <w:p>
      <w:pPr>
        <w:rPr>
          <w:rFonts w:ascii="Verdana" w:hAnsi="Verdana" w:cs="Verdana"/>
          <w:i/>
          <w:iCs/>
          <w:sz w:val="22"/>
          <w:szCs w:val="22"/>
        </w:rPr>
      </w:pPr>
    </w:p>
    <w:p>
      <w:pPr>
        <w:numPr>
          <w:ilvl w:val="1"/>
          <w:numId w:val="3"/>
        </w:numPr>
        <w:rPr>
          <w:rFonts w:ascii="Verdana" w:hAnsi="Verdana" w:cs="Verdana"/>
          <w:b/>
          <w:bCs/>
          <w:sz w:val="22"/>
          <w:szCs w:val="22"/>
        </w:rPr>
      </w:pPr>
      <w:r>
        <w:rPr>
          <w:rFonts w:ascii="Verdana" w:hAnsi="Verdana" w:cs="Verdana"/>
          <w:b/>
          <w:bCs/>
          <w:sz w:val="22"/>
          <w:szCs w:val="22"/>
        </w:rPr>
        <w:t>La recente giurisprudenza sulla maggiore idoneità rappresentativa</w:t>
      </w:r>
    </w:p>
    <w:p>
      <w:pPr>
        <w:jc w:val="both"/>
        <w:rPr>
          <w:rFonts w:ascii="Verdana" w:hAnsi="Verdana" w:cs="Verdana"/>
          <w:sz w:val="22"/>
          <w:szCs w:val="22"/>
        </w:rPr>
      </w:pPr>
    </w:p>
    <w:p>
      <w:pPr>
        <w:jc w:val="both"/>
        <w:rPr>
          <w:rFonts w:ascii="Verdana" w:hAnsi="Verdana" w:cs="Verdana"/>
          <w:sz w:val="22"/>
          <w:szCs w:val="22"/>
        </w:rPr>
      </w:pPr>
      <w:r>
        <w:rPr>
          <w:rFonts w:ascii="Verdana" w:hAnsi="Verdana" w:cs="Verdana"/>
          <w:sz w:val="22"/>
          <w:szCs w:val="22"/>
        </w:rPr>
        <w:t xml:space="preserve">La giurisprudenza recente sta abbandonando l’idea generalizzata dello </w:t>
      </w:r>
      <w:r>
        <w:rPr>
          <w:rFonts w:ascii="Verdana" w:hAnsi="Verdana" w:cs="Verdana"/>
          <w:i/>
          <w:iCs/>
          <w:sz w:val="22"/>
          <w:szCs w:val="22"/>
        </w:rPr>
        <w:t xml:space="preserve">standard </w:t>
      </w:r>
      <w:r>
        <w:rPr>
          <w:rFonts w:ascii="Verdana" w:hAnsi="Verdana" w:cs="Verdana"/>
          <w:sz w:val="22"/>
          <w:szCs w:val="22"/>
        </w:rPr>
        <w:t xml:space="preserve">probatorio basato sul c.d. </w:t>
      </w:r>
      <w:r>
        <w:rPr>
          <w:rFonts w:ascii="Verdana" w:hAnsi="Verdana" w:cs="Verdana"/>
          <w:i/>
          <w:iCs/>
          <w:sz w:val="22"/>
          <w:szCs w:val="22"/>
        </w:rPr>
        <w:t>più probabile che non</w:t>
      </w:r>
      <w:r>
        <w:rPr>
          <w:rFonts w:ascii="Verdana" w:hAnsi="Verdana" w:cs="Verdana"/>
          <w:sz w:val="22"/>
          <w:szCs w:val="22"/>
        </w:rPr>
        <w:t>, privilegiando il criterio della maggiore idoneità rappresentativa.</w:t>
      </w:r>
    </w:p>
    <w:p>
      <w:pPr>
        <w:jc w:val="both"/>
        <w:rPr>
          <w:rFonts w:ascii="Verdana" w:hAnsi="Verdana" w:cs="Verdana"/>
          <w:sz w:val="22"/>
          <w:szCs w:val="22"/>
        </w:rPr>
      </w:pPr>
      <w:r>
        <w:rPr>
          <w:rFonts w:ascii="Verdana" w:hAnsi="Verdana" w:cs="Verdana"/>
          <w:sz w:val="22"/>
          <w:szCs w:val="22"/>
        </w:rPr>
        <w:t>Ebbene: la maggiore idoneità rappresentativa è la sommatoria delle prove ponderate, esattamente come indicato nel paragrafo precedente con la formula</w:t>
      </w:r>
    </w:p>
    <w:p>
      <w:pPr>
        <w:jc w:val="both"/>
        <w:rPr>
          <w:rFonts w:ascii="Verdana" w:hAnsi="Verdana" w:cs="Verdana"/>
          <w:sz w:val="22"/>
          <w:szCs w:val="22"/>
        </w:rPr>
      </w:pPr>
      <w:r>
        <w:rPr>
          <w:rFonts w:ascii="Verdana" w:hAnsi="Verdana" w:cs="Verdana"/>
          <w:sz w:val="22"/>
          <w:szCs w:val="22"/>
        </w:rPr>
        <w:t xml:space="preserve"> FP ≡ 1 &lt;=&gt; (VPAfc) (∑pfc) &gt; (VPAfnc) (∑pfnc)</w:t>
      </w:r>
    </w:p>
    <w:p>
      <w:pPr>
        <w:rPr>
          <w:rFonts w:ascii="Verdana" w:hAnsi="Verdana" w:cs="Verdana"/>
          <w:sz w:val="22"/>
          <w:szCs w:val="22"/>
        </w:rPr>
      </w:pPr>
      <w:r>
        <w:rPr>
          <w:rFonts w:ascii="Verdana" w:hAnsi="Verdana" w:cs="Verdana"/>
          <w:sz w:val="22"/>
          <w:szCs w:val="22"/>
        </w:rPr>
        <w:t>Nel dettaglio, per la giurisprudenza di legittimità:</w:t>
      </w:r>
    </w:p>
    <w:p>
      <w:pPr>
        <w:pStyle w:val="18"/>
        <w:widowControl/>
        <w:shd w:val="clear" w:color="auto" w:fill="FFFFFF"/>
        <w:jc w:val="both"/>
        <w:textAlignment w:val="baseline"/>
        <w:rPr>
          <w:rStyle w:val="9"/>
          <w:rFonts w:ascii="Verdana" w:hAnsi="Verdana" w:cs="Verdana"/>
          <w:color w:val="000000" w:themeColor="text1"/>
          <w:sz w:val="22"/>
          <w:szCs w:val="22"/>
          <w:shd w:val="clear" w:color="auto" w:fill="FFFFFF"/>
          <w14:textFill>
            <w14:solidFill>
              <w14:schemeClr w14:val="tx1"/>
            </w14:solidFill>
          </w14:textFill>
        </w:rPr>
      </w:pPr>
      <w:r>
        <w:rPr>
          <w:rFonts w:ascii="Verdana" w:hAnsi="Verdana" w:cs="Verdana"/>
          <w:sz w:val="22"/>
          <w:szCs w:val="22"/>
        </w:rPr>
        <w:t>-</w:t>
      </w:r>
      <w:r>
        <w:rPr>
          <w:rStyle w:val="9"/>
          <w:rFonts w:ascii="Verdana" w:hAnsi="Verdana" w:cs="Verdana"/>
          <w:color w:val="000000"/>
          <w:sz w:val="22"/>
          <w:szCs w:val="22"/>
          <w:shd w:val="clear" w:color="auto" w:fill="FFFFFF"/>
        </w:rPr>
        <w:t>il criterio del “più probabile che non” è suscettibile di essere utilizzato (come modello di ricostruzione dei fatti nell’ambito della responsabilità civile) unicamente con riguardo all’indagine sul nesso di causalità (ossia con riguardo all’indagine sullo statuto epistemologico di un determinato rapporto tra fatti o eventi), là dove, con riferimento a ogni altra indagin</w:t>
      </w:r>
      <w:r>
        <w:rPr>
          <w:rStyle w:val="9"/>
          <w:rFonts w:ascii="Verdana" w:hAnsi="Verdana" w:cs="Verdana"/>
          <w:color w:val="000000" w:themeColor="text1"/>
          <w:sz w:val="22"/>
          <w:szCs w:val="22"/>
          <w:shd w:val="clear" w:color="auto" w:fill="FFFFFF"/>
          <w14:textFill>
            <w14:solidFill>
              <w14:schemeClr w14:val="tx1"/>
            </w14:solidFill>
          </w14:textFill>
        </w:rPr>
        <w:t>e sulla valutazione dell’idoneità rappresentativa di un determinato compendio probatorio (e quindi anche con riguardo all’indagine sulla diligenza di un determinato comportamento umano),</w:t>
      </w:r>
      <w:r>
        <w:rPr>
          <w:rStyle w:val="19"/>
          <w:rFonts w:ascii="Verdana" w:hAnsi="Verdana" w:cs="Verdana"/>
          <w:b w:val="0"/>
          <w:bCs w:val="0"/>
          <w:i/>
          <w:iCs/>
          <w:color w:val="000000" w:themeColor="text1"/>
          <w:sz w:val="22"/>
          <w:szCs w:val="22"/>
          <w:shd w:val="clear" w:color="auto" w:fill="FFFFFF"/>
          <w14:textFill>
            <w14:solidFill>
              <w14:schemeClr w14:val="tx1"/>
            </w14:solidFill>
          </w14:textFill>
        </w:rPr>
        <w:t> deve ritenersi legittimamente utilizzabile la più elastica categoria dell’attendibilità” (come predicato della maggiore o minore “congruità logica” dell’inferenza critica)</w:t>
      </w:r>
      <w:r>
        <w:rPr>
          <w:rStyle w:val="9"/>
          <w:rFonts w:ascii="Verdana" w:hAnsi="Verdana" w:cs="Verdana"/>
          <w:color w:val="000000" w:themeColor="text1"/>
          <w:sz w:val="22"/>
          <w:szCs w:val="22"/>
          <w:shd w:val="clear" w:color="auto" w:fill="FFFFFF"/>
          <w14:textFill>
            <w14:solidFill>
              <w14:schemeClr w14:val="tx1"/>
            </w14:solidFill>
          </w14:textFill>
        </w:rPr>
        <w:t> [così testualmente </w:t>
      </w:r>
      <w:r>
        <w:rPr>
          <w:rFonts w:ascii="Verdana" w:hAnsi="Verdana" w:cs="Verdana"/>
          <w:i/>
          <w:iCs/>
          <w:color w:val="000000" w:themeColor="text1"/>
          <w:sz w:val="22"/>
          <w:szCs w:val="22"/>
          <w:u w:val="single"/>
          <w:shd w:val="clear" w:color="auto" w:fill="FFFFFF"/>
          <w14:textFill>
            <w14:solidFill>
              <w14:schemeClr w14:val="tx1"/>
            </w14:solidFill>
          </w14:textFill>
        </w:rPr>
        <w:t>Cassazione civile, sezione terza, sentenza del 29.09.2021</w:t>
      </w:r>
      <w:r>
        <w:rPr>
          <w:rStyle w:val="9"/>
          <w:rFonts w:ascii="Verdana" w:hAnsi="Verdana" w:cs="Verdana"/>
          <w:color w:val="000000" w:themeColor="text1"/>
          <w:sz w:val="22"/>
          <w:szCs w:val="22"/>
          <w:shd w:val="clear" w:color="auto" w:fill="FFFFFF"/>
          <w14:textFill>
            <w14:solidFill>
              <w14:schemeClr w14:val="tx1"/>
            </w14:solidFill>
          </w14:textFill>
        </w:rPr>
        <w:t>, n. 26304</w:t>
      </w:r>
      <w:r>
        <w:rPr>
          <w:rStyle w:val="13"/>
          <w:rFonts w:ascii="Verdana" w:hAnsi="Verdana" w:cs="Verdana"/>
          <w:i/>
          <w:iCs/>
          <w:color w:val="000000" w:themeColor="text1"/>
          <w:sz w:val="22"/>
          <w:szCs w:val="22"/>
          <w:shd w:val="clear" w:color="auto" w:fill="FFFFFF"/>
          <w14:textFill>
            <w14:solidFill>
              <w14:schemeClr w14:val="tx1"/>
            </w14:solidFill>
          </w14:textFill>
        </w:rPr>
        <w:footnoteReference w:id="27"/>
      </w:r>
      <w:r>
        <w:rPr>
          <w:rStyle w:val="9"/>
          <w:rFonts w:ascii="Verdana" w:hAnsi="Verdana" w:cs="Verdana"/>
          <w:color w:val="000000" w:themeColor="text1"/>
          <w:sz w:val="22"/>
          <w:szCs w:val="22"/>
          <w:shd w:val="clear" w:color="auto" w:fill="FFFFFF"/>
          <w14:textFill>
            <w14:solidFill>
              <w14:schemeClr w14:val="tx1"/>
            </w14:solidFill>
          </w14:textFill>
        </w:rPr>
        <w:t>;</w:t>
      </w:r>
    </w:p>
    <w:p>
      <w:pPr>
        <w:pStyle w:val="18"/>
        <w:widowControl/>
        <w:shd w:val="clear" w:color="auto" w:fill="FFFFFF"/>
        <w:jc w:val="both"/>
        <w:textAlignment w:val="baseline"/>
        <w:rPr>
          <w:rFonts w:ascii="Verdana" w:hAnsi="Verdana" w:cs="Verdana"/>
          <w:color w:val="000000" w:themeColor="text1"/>
          <w:sz w:val="22"/>
          <w:szCs w:val="22"/>
          <w14:textFill>
            <w14:solidFill>
              <w14:schemeClr w14:val="tx1"/>
            </w14:solidFill>
          </w14:textFill>
        </w:rPr>
      </w:pPr>
      <w:r>
        <w:rPr>
          <w:rStyle w:val="9"/>
          <w:rFonts w:ascii="Verdana" w:hAnsi="Verdana" w:cs="Verdana"/>
          <w:color w:val="000000" w:themeColor="text1"/>
          <w:sz w:val="22"/>
          <w:szCs w:val="22"/>
          <w:shd w:val="clear" w:color="auto" w:fill="FFFFFF"/>
          <w14:textFill>
            <w14:solidFill>
              <w14:schemeClr w14:val="tx1"/>
            </w14:solidFill>
          </w14:textFill>
        </w:rPr>
        <w:t>–</w:t>
      </w:r>
      <w:r>
        <w:rPr>
          <w:rStyle w:val="19"/>
          <w:rFonts w:ascii="Verdana" w:hAnsi="Verdana" w:cs="Verdana"/>
          <w:b w:val="0"/>
          <w:bCs w:val="0"/>
          <w:i/>
          <w:iCs/>
          <w:color w:val="000000" w:themeColor="text1"/>
          <w:sz w:val="22"/>
          <w:szCs w:val="22"/>
          <w:shd w:val="clear" w:color="auto" w:fill="FFFFFF"/>
          <w14:textFill>
            <w14:solidFill>
              <w14:schemeClr w14:val="tx1"/>
            </w14:solidFill>
          </w14:textFill>
        </w:rPr>
        <w:t>va disatteso il motivo basato sull’assunto erroneo dell’applicazione generalizzata al giudizio civile del criterio del “più probabile che non”,</w:t>
      </w:r>
      <w:r>
        <w:rPr>
          <w:rStyle w:val="9"/>
          <w:rFonts w:ascii="Verdana" w:hAnsi="Verdana" w:cs="Verdana"/>
          <w:color w:val="000000" w:themeColor="text1"/>
          <w:sz w:val="22"/>
          <w:szCs w:val="22"/>
          <w:shd w:val="clear" w:color="auto" w:fill="FFFFFF"/>
          <w14:textFill>
            <w14:solidFill>
              <w14:schemeClr w14:val="tx1"/>
            </w14:solidFill>
          </w14:textFill>
        </w:rPr>
        <w:t> che – invece “costituisce il modello di ricostruzione del solo nesso di causalità- regolante cioè l’indagine sullo statuto epistemologico di un determinato rapporto tra fatti o eventi – mentre la valutazione del compendio probatorio (…) è informata al criterio della attendibilità – ovvero della </w:t>
      </w:r>
      <w:r>
        <w:rPr>
          <w:rStyle w:val="19"/>
          <w:rFonts w:ascii="Verdana" w:hAnsi="Verdana" w:cs="Verdana"/>
          <w:b w:val="0"/>
          <w:bCs w:val="0"/>
          <w:i/>
          <w:iCs/>
          <w:color w:val="000000" w:themeColor="text1"/>
          <w:sz w:val="22"/>
          <w:szCs w:val="22"/>
          <w:shd w:val="clear" w:color="auto" w:fill="FFFFFF"/>
          <w14:textFill>
            <w14:solidFill>
              <w14:schemeClr w14:val="tx1"/>
            </w14:solidFill>
          </w14:textFill>
        </w:rPr>
        <w:t>più elevata idoneità rappresentativa e congruità logica degli elementi di prova assunti</w:t>
      </w:r>
      <w:r>
        <w:rPr>
          <w:rStyle w:val="9"/>
          <w:rFonts w:ascii="Verdana" w:hAnsi="Verdana" w:cs="Verdana"/>
          <w:color w:val="000000" w:themeColor="text1"/>
          <w:sz w:val="22"/>
          <w:szCs w:val="22"/>
          <w:shd w:val="clear" w:color="auto" w:fill="FFFFFF"/>
          <w14:textFill>
            <w14:solidFill>
              <w14:schemeClr w14:val="tx1"/>
            </w14:solidFill>
          </w14:textFill>
        </w:rPr>
        <w:t> – [così testualmente </w:t>
      </w:r>
      <w:r>
        <w:rPr>
          <w:rFonts w:ascii="Verdana" w:hAnsi="Verdana" w:cs="Verdana"/>
          <w:i/>
          <w:iCs/>
          <w:color w:val="000000" w:themeColor="text1"/>
          <w:sz w:val="22"/>
          <w:szCs w:val="22"/>
          <w:u w:val="single"/>
          <w:shd w:val="clear" w:color="auto" w:fill="FFFFFF"/>
          <w14:textFill>
            <w14:solidFill>
              <w14:schemeClr w14:val="tx1"/>
            </w14:solidFill>
          </w14:textFill>
        </w:rPr>
        <w:t>Cassazione civile, sezione terza, ordinanza del  15.04.2022, n. 12386</w:t>
      </w:r>
      <w:r>
        <w:rPr>
          <w:rStyle w:val="13"/>
          <w:rFonts w:ascii="Verdana" w:hAnsi="Verdana" w:cs="Verdana"/>
          <w:i/>
          <w:iCs/>
          <w:color w:val="000000" w:themeColor="text1"/>
          <w:sz w:val="22"/>
          <w:szCs w:val="22"/>
          <w:u w:val="single"/>
          <w:shd w:val="clear" w:color="auto" w:fill="FFFFFF"/>
          <w14:textFill>
            <w14:solidFill>
              <w14:schemeClr w14:val="tx1"/>
            </w14:solidFill>
          </w14:textFill>
        </w:rPr>
        <w:footnoteReference w:id="28"/>
      </w:r>
      <w:r>
        <w:rPr>
          <w:rStyle w:val="9"/>
          <w:rFonts w:ascii="Verdana" w:hAnsi="Verdana" w:cs="Verdana"/>
          <w:color w:val="000000" w:themeColor="text1"/>
          <w:sz w:val="22"/>
          <w:szCs w:val="22"/>
          <w:u w:val="single"/>
          <w:shd w:val="clear" w:color="auto" w:fill="FFFFFF"/>
          <w14:textFill>
            <w14:solidFill>
              <w14:schemeClr w14:val="tx1"/>
            </w14:solidFill>
          </w14:textFill>
        </w:rPr>
        <w:t>;</w:t>
      </w:r>
    </w:p>
    <w:p>
      <w:pPr>
        <w:rPr>
          <w:rStyle w:val="9"/>
          <w:rFonts w:ascii="Verdana" w:hAnsi="Verdana" w:cs="Verdana"/>
          <w:color w:val="000000" w:themeColor="text1"/>
          <w:sz w:val="22"/>
          <w:szCs w:val="22"/>
          <w:shd w:val="clear" w:color="auto" w:fill="FFFFFF"/>
          <w14:textFill>
            <w14:solidFill>
              <w14:schemeClr w14:val="tx1"/>
            </w14:solidFill>
          </w14:textFill>
        </w:rPr>
      </w:pPr>
      <w:r>
        <w:rPr>
          <w:rFonts w:ascii="Verdana" w:hAnsi="Verdana" w:cs="Verdana"/>
          <w:color w:val="000000" w:themeColor="text1"/>
          <w:sz w:val="22"/>
          <w:szCs w:val="22"/>
          <w:shd w:val="clear" w:color="auto" w:fill="FFFFFF"/>
          <w14:textFill>
            <w14:solidFill>
              <w14:schemeClr w14:val="tx1"/>
            </w14:solidFill>
          </w14:textFill>
        </w:rPr>
        <w:t>–</w:t>
      </w:r>
      <w:r>
        <w:rPr>
          <w:rStyle w:val="9"/>
          <w:rFonts w:ascii="Verdana" w:hAnsi="Verdana" w:cs="Verdana"/>
          <w:color w:val="000000" w:themeColor="text1"/>
          <w:sz w:val="22"/>
          <w:szCs w:val="22"/>
          <w:shd w:val="clear" w:color="auto" w:fill="FFFFFF"/>
          <w14:textFill>
            <w14:solidFill>
              <w14:schemeClr w14:val="tx1"/>
            </w14:solidFill>
          </w14:textFill>
        </w:rPr>
        <w:t>la valutazione della prova non dipende dalla mera soggettività del giudice, ma è ancorata ad un parametro, quello del prudente apprezzamento, sia pure declinato in termini soggettivi. </w:t>
      </w:r>
      <w:r>
        <w:rPr>
          <w:rStyle w:val="19"/>
          <w:rFonts w:ascii="Verdana" w:hAnsi="Verdana" w:cs="Verdana"/>
          <w:b w:val="0"/>
          <w:bCs w:val="0"/>
          <w:i/>
          <w:iCs/>
          <w:color w:val="000000" w:themeColor="text1"/>
          <w:sz w:val="22"/>
          <w:szCs w:val="22"/>
          <w:shd w:val="clear" w:color="auto" w:fill="FFFFFF"/>
          <w14:textFill>
            <w14:solidFill>
              <w14:schemeClr w14:val="tx1"/>
            </w14:solidFill>
          </w14:textFill>
        </w:rPr>
        <w:t>Il prudente apprezzamento è un’unità di misura</w:t>
      </w:r>
      <w:r>
        <w:rPr>
          <w:rStyle w:val="9"/>
          <w:rFonts w:ascii="Verdana" w:hAnsi="Verdana" w:cs="Verdana"/>
          <w:color w:val="000000" w:themeColor="text1"/>
          <w:sz w:val="22"/>
          <w:szCs w:val="22"/>
          <w:shd w:val="clear" w:color="auto" w:fill="FFFFFF"/>
          <w14:textFill>
            <w14:solidFill>
              <w14:schemeClr w14:val="tx1"/>
            </w14:solidFill>
          </w14:textFill>
        </w:rPr>
        <w:t> cui i il giudice deve basarsi nella valutazione delle prove [così testualmente Cassazione civile, sezione terza, sentenza del 16.05.2022, n. 15605</w:t>
      </w:r>
      <w:r>
        <w:rPr>
          <w:rStyle w:val="13"/>
          <w:rFonts w:ascii="Verdana" w:hAnsi="Verdana" w:cs="Verdana"/>
          <w:i/>
          <w:iCs/>
          <w:color w:val="000000" w:themeColor="text1"/>
          <w:sz w:val="22"/>
          <w:szCs w:val="22"/>
          <w:shd w:val="clear" w:color="auto" w:fill="FFFFFF"/>
          <w14:textFill>
            <w14:solidFill>
              <w14:schemeClr w14:val="tx1"/>
            </w14:solidFill>
          </w14:textFill>
        </w:rPr>
        <w:footnoteReference w:id="29"/>
      </w:r>
      <w:r>
        <w:rPr>
          <w:rStyle w:val="9"/>
          <w:rFonts w:ascii="Verdana" w:hAnsi="Verdana" w:cs="Verdana"/>
          <w:color w:val="000000" w:themeColor="text1"/>
          <w:sz w:val="22"/>
          <w:szCs w:val="22"/>
          <w:shd w:val="clear" w:color="auto" w:fill="FFFFFF"/>
          <w14:textFill>
            <w14:solidFill>
              <w14:schemeClr w14:val="tx1"/>
            </w14:solidFill>
          </w14:textFill>
        </w:rPr>
        <w:t>].</w:t>
      </w:r>
    </w:p>
    <w:p>
      <w:pPr>
        <w:rPr>
          <w:rStyle w:val="9"/>
          <w:rFonts w:ascii="Verdana" w:hAnsi="Verdana" w:cs="Verdana"/>
          <w:i w:val="0"/>
          <w:iCs w:val="0"/>
          <w:color w:val="000000" w:themeColor="text1"/>
          <w:sz w:val="22"/>
          <w:szCs w:val="22"/>
          <w:shd w:val="clear" w:color="auto" w:fill="FFFFFF"/>
          <w14:textFill>
            <w14:solidFill>
              <w14:schemeClr w14:val="tx1"/>
            </w14:solidFill>
          </w14:textFill>
        </w:rPr>
      </w:pPr>
      <w:r>
        <w:rPr>
          <w:rStyle w:val="9"/>
          <w:rFonts w:ascii="Verdana" w:hAnsi="Verdana" w:cs="Verdana"/>
          <w:i w:val="0"/>
          <w:iCs w:val="0"/>
          <w:color w:val="000000" w:themeColor="text1"/>
          <w:sz w:val="22"/>
          <w:szCs w:val="22"/>
          <w:shd w:val="clear" w:color="auto" w:fill="FFFFFF"/>
          <w14:textFill>
            <w14:solidFill>
              <w14:schemeClr w14:val="tx1"/>
            </w14:solidFill>
          </w14:textFill>
        </w:rPr>
        <w:t>La giurisprudenza di merito si sta allineando nella medesima direzione</w:t>
      </w:r>
      <w:r>
        <w:rPr>
          <w:rStyle w:val="13"/>
          <w:rFonts w:ascii="Verdana" w:hAnsi="Verdana" w:cs="Verdana"/>
          <w:color w:val="000000" w:themeColor="text1"/>
          <w:sz w:val="22"/>
          <w:szCs w:val="22"/>
          <w:shd w:val="clear" w:color="auto" w:fill="FFFFFF"/>
          <w14:textFill>
            <w14:solidFill>
              <w14:schemeClr w14:val="tx1"/>
            </w14:solidFill>
          </w14:textFill>
        </w:rPr>
        <w:footnoteReference w:id="30"/>
      </w:r>
      <w:r>
        <w:rPr>
          <w:rStyle w:val="9"/>
          <w:rFonts w:ascii="Verdana" w:hAnsi="Verdana" w:cs="Verdana"/>
          <w:i w:val="0"/>
          <w:iCs w:val="0"/>
          <w:color w:val="000000" w:themeColor="text1"/>
          <w:sz w:val="22"/>
          <w:szCs w:val="22"/>
          <w:shd w:val="clear" w:color="auto" w:fill="FFFFFF"/>
          <w14:textFill>
            <w14:solidFill>
              <w14:schemeClr w14:val="tx1"/>
            </w14:solidFill>
          </w14:textFill>
        </w:rPr>
        <w:t>:</w:t>
      </w:r>
    </w:p>
    <w:p>
      <w:pPr>
        <w:pStyle w:val="18"/>
        <w:widowControl/>
        <w:shd w:val="clear" w:color="auto" w:fill="FFFFFF"/>
        <w:jc w:val="both"/>
        <w:textAlignment w:val="baseline"/>
        <w:rPr>
          <w:rFonts w:ascii="Verdana" w:hAnsi="Verdana" w:cs="Verdana"/>
          <w:color w:val="000000" w:themeColor="text1"/>
          <w:sz w:val="22"/>
          <w:szCs w:val="22"/>
          <w14:textFill>
            <w14:solidFill>
              <w14:schemeClr w14:val="tx1"/>
            </w14:solidFill>
          </w14:textFill>
        </w:rPr>
      </w:pPr>
      <w:r>
        <w:rPr>
          <w:rFonts w:ascii="Verdana" w:hAnsi="Verdana" w:cs="Verdana"/>
          <w:color w:val="000000" w:themeColor="text1"/>
          <w:sz w:val="22"/>
          <w:szCs w:val="22"/>
          <w:shd w:val="clear" w:color="auto" w:fill="FFFFFF"/>
          <w14:textFill>
            <w14:solidFill>
              <w14:schemeClr w14:val="tx1"/>
            </w14:solidFill>
          </w14:textFill>
        </w:rPr>
        <w:t>–</w:t>
      </w:r>
      <w:r>
        <w:rPr>
          <w:rFonts w:ascii="Verdana" w:hAnsi="Verdana" w:cs="Verdana"/>
          <w:color w:val="000000" w:themeColor="text1"/>
          <w:sz w:val="22"/>
          <w:szCs w:val="22"/>
          <w:u w:val="single"/>
          <w:shd w:val="clear" w:color="auto" w:fill="FFFFFF"/>
          <w14:textFill>
            <w14:solidFill>
              <w14:schemeClr w14:val="tx1"/>
            </w14:solidFill>
          </w14:textFill>
        </w:rPr>
        <w:t>Corte di appello Milano, sezione seconda, sentenza del 29.12.2021, n. 3796</w:t>
      </w:r>
      <w:r>
        <w:rPr>
          <w:rStyle w:val="13"/>
          <w:rFonts w:ascii="Verdana" w:hAnsi="Verdana" w:cs="Verdana"/>
          <w:color w:val="000000" w:themeColor="text1"/>
          <w:sz w:val="22"/>
          <w:szCs w:val="22"/>
          <w:u w:val="single"/>
          <w:shd w:val="clear" w:color="auto" w:fill="FFFFFF"/>
          <w14:textFill>
            <w14:solidFill>
              <w14:schemeClr w14:val="tx1"/>
            </w14:solidFill>
          </w14:textFill>
        </w:rPr>
        <w:footnoteReference w:id="31"/>
      </w:r>
      <w:r>
        <w:rPr>
          <w:rFonts w:ascii="Verdana" w:hAnsi="Verdana" w:cs="Verdana"/>
          <w:color w:val="000000" w:themeColor="text1"/>
          <w:sz w:val="22"/>
          <w:szCs w:val="22"/>
          <w:shd w:val="clear" w:color="auto" w:fill="FFFFFF"/>
          <w14:textFill>
            <w14:solidFill>
              <w14:schemeClr w14:val="tx1"/>
            </w14:solidFill>
          </w14:textFill>
        </w:rPr>
        <w:t>, secondo cui ” </w:t>
      </w:r>
      <w:r>
        <w:rPr>
          <w:rStyle w:val="9"/>
          <w:rFonts w:ascii="Verdana" w:hAnsi="Verdana" w:cs="Verdana"/>
          <w:color w:val="000000" w:themeColor="text1"/>
          <w:sz w:val="22"/>
          <w:szCs w:val="22"/>
          <w:shd w:val="clear" w:color="auto" w:fill="FFFFFF"/>
          <w14:textFill>
            <w14:solidFill>
              <w14:schemeClr w14:val="tx1"/>
            </w14:solidFill>
          </w14:textFill>
        </w:rPr>
        <w:t>la valutazione del compendio probatorio (nella specie, con riferimento ad un determinato comportamento in tema di responsabilità medico-</w:t>
      </w:r>
      <w:r>
        <w:rPr>
          <w:rStyle w:val="9"/>
          <w:rFonts w:ascii="Verdana" w:hAnsi="Verdana" w:cs="Verdana"/>
          <w:color w:val="000000"/>
          <w:sz w:val="22"/>
          <w:szCs w:val="22"/>
          <w:shd w:val="clear" w:color="auto" w:fill="FFFFFF"/>
        </w:rPr>
        <w:t>sanitaria) è informata al criterio della attendibilità – ovvero della più elevata idoneità rappresentativa”;</w:t>
      </w:r>
    </w:p>
    <w:p>
      <w:pPr>
        <w:pStyle w:val="18"/>
        <w:widowControl/>
        <w:shd w:val="clear" w:color="auto" w:fill="FFFFFF"/>
        <w:jc w:val="both"/>
        <w:textAlignment w:val="baseline"/>
        <w:rPr>
          <w:rFonts w:ascii="Verdana" w:hAnsi="Verdana" w:cs="Verdana"/>
          <w:color w:val="000000"/>
          <w:sz w:val="22"/>
          <w:szCs w:val="22"/>
        </w:rPr>
      </w:pPr>
      <w:r>
        <w:rPr>
          <w:rStyle w:val="9"/>
          <w:rFonts w:ascii="Verdana" w:hAnsi="Verdana" w:cs="Verdana"/>
          <w:color w:val="000000" w:themeColor="text1"/>
          <w:sz w:val="22"/>
          <w:szCs w:val="22"/>
          <w:shd w:val="clear" w:color="auto" w:fill="FFFFFF"/>
          <w14:textFill>
            <w14:solidFill>
              <w14:schemeClr w14:val="tx1"/>
            </w14:solidFill>
          </w14:textFill>
        </w:rPr>
        <w:t>–</w:t>
      </w:r>
      <w:r>
        <w:rPr>
          <w:rFonts w:ascii="Verdana" w:hAnsi="Verdana" w:cs="Verdana"/>
          <w:i/>
          <w:iCs/>
          <w:color w:val="000000" w:themeColor="text1"/>
          <w:sz w:val="22"/>
          <w:szCs w:val="22"/>
          <w:u w:val="single"/>
          <w:shd w:val="clear" w:color="auto" w:fill="FFFFFF"/>
          <w14:textFill>
            <w14:solidFill>
              <w14:schemeClr w14:val="tx1"/>
            </w14:solidFill>
          </w14:textFill>
        </w:rPr>
        <w:t>Corte di appello Firenze, sentenza del 18.05.2022, n.940</w:t>
      </w:r>
      <w:r>
        <w:rPr>
          <w:rStyle w:val="13"/>
          <w:rFonts w:ascii="Verdana" w:hAnsi="Verdana" w:cs="Verdana"/>
          <w:i/>
          <w:iCs/>
          <w:color w:val="000000" w:themeColor="text1"/>
          <w:sz w:val="22"/>
          <w:szCs w:val="22"/>
          <w:u w:val="single"/>
          <w:shd w:val="clear" w:color="auto" w:fill="FFFFFF"/>
          <w14:textFill>
            <w14:solidFill>
              <w14:schemeClr w14:val="tx1"/>
            </w14:solidFill>
          </w14:textFill>
        </w:rPr>
        <w:footnoteReference w:id="32"/>
      </w:r>
      <w:r>
        <w:rPr>
          <w:rStyle w:val="9"/>
          <w:rFonts w:ascii="Verdana" w:hAnsi="Verdana" w:cs="Verdana"/>
          <w:color w:val="000000" w:themeColor="text1"/>
          <w:sz w:val="22"/>
          <w:szCs w:val="22"/>
          <w:shd w:val="clear" w:color="auto" w:fill="FFFFFF"/>
          <w14:textFill>
            <w14:solidFill>
              <w14:schemeClr w14:val="tx1"/>
            </w14:solidFill>
          </w14:textFill>
        </w:rPr>
        <w:t> secondo cui “il criterio del ‘più probabile che non’, è suscettibile di essere utilizzato (come modello di ricostruzione dei fatti nell’ambito della responsabilità civile) unicamente con riguardo all’indagine sul nesso di causalità (ossia con riguardo all’inda</w:t>
      </w:r>
      <w:r>
        <w:rPr>
          <w:rStyle w:val="9"/>
          <w:rFonts w:ascii="Verdana" w:hAnsi="Verdana" w:cs="Verdana"/>
          <w:color w:val="000000"/>
          <w:sz w:val="22"/>
          <w:szCs w:val="22"/>
          <w:shd w:val="clear" w:color="auto" w:fill="FFFFFF"/>
        </w:rPr>
        <w:t>gine sullo statuto epistemologico di un determinato rapporto tra fatti o eventi), là dove, con riferimento a ogni altra indagine sulla valutazione dell’idoneità rappresentativa di un determinato compendio probatorio (e quindi anche con riguardo all’indagine sulla diligenza di un determinato comportamento umano), deve ritenersi legittimamente utilizzabile la più elastica categoria dell’attendibilità” (come predicato della maggiore o minore ‘congruità logica’ dell’inferenza critica)”.</w:t>
      </w:r>
    </w:p>
    <w:p>
      <w:pPr>
        <w:rPr>
          <w:rStyle w:val="9"/>
          <w:rFonts w:ascii="Verdana" w:hAnsi="Verdana" w:cs="Verdana"/>
          <w:color w:val="000000"/>
          <w:sz w:val="22"/>
          <w:szCs w:val="22"/>
          <w:shd w:val="clear" w:color="auto" w:fill="FFFFFF"/>
        </w:rPr>
      </w:pPr>
    </w:p>
    <w:p>
      <w:pPr>
        <w:rPr>
          <w:rStyle w:val="9"/>
          <w:rFonts w:ascii="Verdana" w:hAnsi="Verdana" w:cs="Verdana"/>
          <w:color w:val="000000"/>
          <w:sz w:val="22"/>
          <w:szCs w:val="22"/>
          <w:shd w:val="clear" w:color="auto" w:fill="FFFFFF"/>
        </w:rPr>
      </w:pPr>
    </w:p>
    <w:p>
      <w:pPr>
        <w:numPr>
          <w:ilvl w:val="0"/>
          <w:numId w:val="3"/>
        </w:numPr>
        <w:rPr>
          <w:rStyle w:val="9"/>
          <w:rFonts w:ascii="Verdana" w:hAnsi="Verdana" w:cs="Verdana"/>
          <w:b/>
          <w:bCs/>
          <w:i w:val="0"/>
          <w:iCs w:val="0"/>
          <w:color w:val="000000"/>
          <w:sz w:val="22"/>
          <w:szCs w:val="22"/>
          <w:shd w:val="clear" w:color="auto" w:fill="FFFFFF"/>
          <w:lang w:val="en-US"/>
        </w:rPr>
      </w:pPr>
      <w:r>
        <w:rPr>
          <w:rStyle w:val="9"/>
          <w:rFonts w:ascii="Verdana" w:hAnsi="Verdana" w:cs="Verdana"/>
          <w:b/>
          <w:bCs/>
          <w:i w:val="0"/>
          <w:iCs w:val="0"/>
          <w:color w:val="000000"/>
          <w:sz w:val="22"/>
          <w:szCs w:val="22"/>
          <w:shd w:val="clear" w:color="auto" w:fill="FFFFFF"/>
        </w:rPr>
        <w:t xml:space="preserve">Come calcolare il diritto </w:t>
      </w:r>
    </w:p>
    <w:p>
      <w:pPr>
        <w:rPr>
          <w:rStyle w:val="9"/>
          <w:rFonts w:ascii="Verdana" w:hAnsi="Verdana" w:cs="Verdana"/>
          <w:b/>
          <w:bCs/>
          <w:i w:val="0"/>
          <w:iCs w:val="0"/>
          <w:color w:val="000000"/>
          <w:sz w:val="22"/>
          <w:szCs w:val="22"/>
          <w:shd w:val="clear" w:color="auto" w:fill="FFFFFF"/>
        </w:rPr>
      </w:pPr>
    </w:p>
    <w:p>
      <w:p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Dal dato testuale dell’art. 12 preleggi emerge che, per interpretare una legge, bisogna procedere nel modo che segue:</w:t>
      </w:r>
    </w:p>
    <w:p>
      <w:pPr>
        <w:pStyle w:val="49"/>
        <w:numPr>
          <w:ilvl w:val="0"/>
          <w:numId w:val="11"/>
        </w:num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attribuire il significato letterale, che è la c.d. interpretazione letterale (IL);</w:t>
      </w:r>
    </w:p>
    <w:p>
      <w:pPr>
        <w:pStyle w:val="49"/>
        <w:numPr>
          <w:ilvl w:val="0"/>
          <w:numId w:val="11"/>
        </w:num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unire l’interpretazione letterale con l’intenzione del legislatore</w:t>
      </w:r>
      <w:r>
        <w:rPr>
          <w:rStyle w:val="13"/>
          <w:rFonts w:ascii="Verdana" w:hAnsi="Verdana" w:eastAsia="Times New Roman" w:cs="Verdana"/>
          <w:color w:val="000000" w:themeColor="text1"/>
          <w:sz w:val="22"/>
          <w:szCs w:val="22"/>
          <w:lang w:eastAsia="it-IT"/>
          <w14:textFill>
            <w14:solidFill>
              <w14:schemeClr w14:val="tx1"/>
            </w14:solidFill>
          </w14:textFill>
        </w:rPr>
        <w:footnoteReference w:id="33"/>
      </w:r>
      <w:r>
        <w:rPr>
          <w:rFonts w:ascii="Verdana" w:hAnsi="Verdana" w:eastAsia="Times New Roman" w:cs="Verdana"/>
          <w:color w:val="000000" w:themeColor="text1"/>
          <w:sz w:val="22"/>
          <w:szCs w:val="22"/>
          <w:lang w:eastAsia="it-IT"/>
          <w14:textFill>
            <w14:solidFill>
              <w14:schemeClr w14:val="tx1"/>
            </w14:solidFill>
          </w14:textFill>
        </w:rPr>
        <w:t xml:space="preserve">, che è la c.d. interpretazione per </w:t>
      </w:r>
      <w:r>
        <w:rPr>
          <w:rFonts w:ascii="Verdana" w:hAnsi="Verdana" w:eastAsia="Times New Roman" w:cs="Verdana"/>
          <w:i/>
          <w:color w:val="000000" w:themeColor="text1"/>
          <w:sz w:val="22"/>
          <w:szCs w:val="22"/>
          <w:lang w:eastAsia="it-IT"/>
          <w14:textFill>
            <w14:solidFill>
              <w14:schemeClr w14:val="tx1"/>
            </w14:solidFill>
          </w14:textFill>
        </w:rPr>
        <w:t xml:space="preserve">ratio </w:t>
      </w:r>
      <w:r>
        <w:rPr>
          <w:rFonts w:ascii="Verdana" w:hAnsi="Verdana" w:eastAsia="Times New Roman" w:cs="Verdana"/>
          <w:color w:val="000000" w:themeColor="text1"/>
          <w:sz w:val="22"/>
          <w:szCs w:val="22"/>
          <w:lang w:eastAsia="it-IT"/>
          <w14:textFill>
            <w14:solidFill>
              <w14:schemeClr w14:val="tx1"/>
            </w14:solidFill>
          </w14:textFill>
        </w:rPr>
        <w:t>(IR);</w:t>
      </w:r>
    </w:p>
    <w:p>
      <w:pPr>
        <w:pStyle w:val="49"/>
        <w:numPr>
          <w:ilvl w:val="0"/>
          <w:numId w:val="11"/>
        </w:num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 xml:space="preserve">in assenza di precisa disposizione (IL=0), nel senso di assenza di norma oppure di presenza di norma, ma con significato equivoco, si può utilizzare la c.d. analogia </w:t>
      </w:r>
      <w:r>
        <w:rPr>
          <w:rFonts w:ascii="Verdana" w:hAnsi="Verdana" w:eastAsia="Times New Roman" w:cs="Verdana"/>
          <w:i/>
          <w:color w:val="000000" w:themeColor="text1"/>
          <w:sz w:val="22"/>
          <w:szCs w:val="22"/>
          <w:lang w:eastAsia="it-IT"/>
          <w14:textFill>
            <w14:solidFill>
              <w14:schemeClr w14:val="tx1"/>
            </w14:solidFill>
          </w14:textFill>
        </w:rPr>
        <w:t xml:space="preserve">legis </w:t>
      </w:r>
      <w:r>
        <w:rPr>
          <w:rFonts w:ascii="Verdana" w:hAnsi="Verdana" w:eastAsia="Times New Roman" w:cs="Verdana"/>
          <w:color w:val="000000" w:themeColor="text1"/>
          <w:sz w:val="22"/>
          <w:szCs w:val="22"/>
          <w:lang w:eastAsia="it-IT"/>
          <w14:textFill>
            <w14:solidFill>
              <w14:schemeClr w14:val="tx1"/>
            </w14:solidFill>
          </w14:textFill>
        </w:rPr>
        <w:t xml:space="preserve">(AL), ovvero cercare nel medesimo complesso di leggi (codice civile o penale, per quello che qui rileva) una situazione giuridica tipizzata analoga, con stessa </w:t>
      </w:r>
      <w:r>
        <w:rPr>
          <w:rFonts w:ascii="Verdana" w:hAnsi="Verdana" w:eastAsia="Times New Roman" w:cs="Verdana"/>
          <w:i/>
          <w:color w:val="000000" w:themeColor="text1"/>
          <w:sz w:val="22"/>
          <w:szCs w:val="22"/>
          <w:lang w:eastAsia="it-IT"/>
          <w14:textFill>
            <w14:solidFill>
              <w14:schemeClr w14:val="tx1"/>
            </w14:solidFill>
          </w14:textFill>
        </w:rPr>
        <w:t>ratio</w:t>
      </w:r>
      <w:r>
        <w:rPr>
          <w:rFonts w:ascii="Verdana" w:hAnsi="Verdana" w:eastAsia="Times New Roman" w:cs="Verdana"/>
          <w:color w:val="000000" w:themeColor="text1"/>
          <w:sz w:val="22"/>
          <w:szCs w:val="22"/>
          <w:lang w:eastAsia="it-IT"/>
          <w14:textFill>
            <w14:solidFill>
              <w14:schemeClr w14:val="tx1"/>
            </w14:solidFill>
          </w14:textFill>
        </w:rPr>
        <w:t xml:space="preserve"> (c.d. </w:t>
      </w:r>
      <w:r>
        <w:rPr>
          <w:rFonts w:ascii="Verdana" w:hAnsi="Verdana" w:eastAsia="Times New Roman" w:cs="Verdana"/>
          <w:i/>
          <w:color w:val="000000" w:themeColor="text1"/>
          <w:sz w:val="22"/>
          <w:szCs w:val="22"/>
          <w:lang w:eastAsia="it-IT"/>
          <w14:textFill>
            <w14:solidFill>
              <w14:schemeClr w14:val="tx1"/>
            </w14:solidFill>
          </w14:textFill>
        </w:rPr>
        <w:t>eadem ratio</w:t>
      </w:r>
      <w:r>
        <w:rPr>
          <w:rFonts w:ascii="Verdana" w:hAnsi="Verdana" w:eastAsia="Times New Roman" w:cs="Verdana"/>
          <w:color w:val="000000" w:themeColor="text1"/>
          <w:sz w:val="22"/>
          <w:szCs w:val="22"/>
          <w:lang w:eastAsia="it-IT"/>
          <w14:textFill>
            <w14:solidFill>
              <w14:schemeClr w14:val="tx1"/>
            </w14:solidFill>
          </w14:textFill>
        </w:rPr>
        <w:t>);</w:t>
      </w:r>
    </w:p>
    <w:p>
      <w:pPr>
        <w:pStyle w:val="49"/>
        <w:numPr>
          <w:ilvl w:val="0"/>
          <w:numId w:val="11"/>
        </w:num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 xml:space="preserve">se il caso è ancora dubbio (AL≈0), si può procedere ad utilizzare i principi generali dell’ordinamento, che è la c.d. analogia </w:t>
      </w:r>
      <w:r>
        <w:rPr>
          <w:rFonts w:ascii="Verdana" w:hAnsi="Verdana" w:eastAsia="Times New Roman" w:cs="Verdana"/>
          <w:i/>
          <w:color w:val="000000" w:themeColor="text1"/>
          <w:sz w:val="22"/>
          <w:szCs w:val="22"/>
          <w:lang w:eastAsia="it-IT"/>
          <w14:textFill>
            <w14:solidFill>
              <w14:schemeClr w14:val="tx1"/>
            </w14:solidFill>
          </w14:textFill>
        </w:rPr>
        <w:t>iuris</w:t>
      </w:r>
      <w:r>
        <w:rPr>
          <w:rFonts w:ascii="Verdana" w:hAnsi="Verdana" w:eastAsia="Times New Roman" w:cs="Verdana"/>
          <w:color w:val="000000" w:themeColor="text1"/>
          <w:sz w:val="22"/>
          <w:szCs w:val="22"/>
          <w:lang w:eastAsia="it-IT"/>
          <w14:textFill>
            <w14:solidFill>
              <w14:schemeClr w14:val="tx1"/>
            </w14:solidFill>
          </w14:textFill>
        </w:rPr>
        <w:t xml:space="preserve"> (AI).</w:t>
      </w:r>
    </w:p>
    <w:p>
      <w:pPr>
        <w:pStyle w:val="49"/>
        <w:ind w:left="0"/>
        <w:jc w:val="both"/>
        <w:rPr>
          <w:rFonts w:ascii="Verdana" w:hAnsi="Verdana" w:eastAsia="Times New Roman" w:cs="Verdana"/>
          <w:i/>
          <w:iCs/>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La giurisprudenza a Sezioni Unite</w:t>
      </w:r>
      <w:r>
        <w:rPr>
          <w:rStyle w:val="13"/>
          <w:rFonts w:ascii="Verdana" w:hAnsi="Verdana" w:eastAsia="Times New Roman" w:cs="Verdana"/>
          <w:color w:val="000000" w:themeColor="text1"/>
          <w:sz w:val="22"/>
          <w:szCs w:val="22"/>
          <w:lang w:val="en-US" w:eastAsia="it-IT"/>
          <w14:textFill>
            <w14:solidFill>
              <w14:schemeClr w14:val="tx1"/>
            </w14:solidFill>
          </w14:textFill>
        </w:rPr>
        <w:footnoteReference w:id="34"/>
      </w:r>
      <w:r>
        <w:rPr>
          <w:rFonts w:ascii="Verdana" w:hAnsi="Verdana" w:eastAsia="Times New Roman" w:cs="Verdana"/>
          <w:color w:val="000000" w:themeColor="text1"/>
          <w:sz w:val="22"/>
          <w:szCs w:val="22"/>
          <w:lang w:eastAsia="it-IT"/>
          <w14:textFill>
            <w14:solidFill>
              <w14:schemeClr w14:val="tx1"/>
            </w14:solidFill>
          </w14:textFill>
        </w:rPr>
        <w:t xml:space="preserve"> si muove nella medesima direzione, affermando che quanto</w:t>
      </w:r>
      <w:r>
        <w:rPr>
          <w:rFonts w:ascii="Verdana" w:hAnsi="Verdana" w:eastAsia="Times New Roman" w:cs="Verdana"/>
          <w:i/>
          <w:iCs/>
          <w:color w:val="000000" w:themeColor="text1"/>
          <w:sz w:val="22"/>
          <w:szCs w:val="22"/>
          <w:lang w:eastAsia="it-IT"/>
          <w14:textFill>
            <w14:solidFill>
              <w14:schemeClr w14:val="tx1"/>
            </w14:solidFill>
          </w14:textFill>
        </w:rPr>
        <w:t xml:space="preserve"> all’art. 12 preleggi, va affermato che il giudice non crea il diritto, atteso che le scelte di politica del diritto sono riservate al legislatore e al giudice compete solo interpretare la norma entro i limiti delle opzioni ermeneutiche più corrette dell’enunciato. La funzione assolta dalla giurisprudenza è quindi di natura dichiarativa. Sicché l’attività interpretativa giudiziale è segnata, innanzitutto, dal significante testuale della disposizione..</w:t>
      </w:r>
    </w:p>
    <w:p>
      <w:pPr>
        <w:pStyle w:val="49"/>
        <w:ind w:left="0"/>
        <w:jc w:val="both"/>
        <w:rPr>
          <w:rFonts w:ascii="Verdana" w:hAnsi="Verdana" w:eastAsia="Times New Roman" w:cs="Verdana"/>
          <w:i/>
          <w:iCs/>
          <w:color w:val="000000" w:themeColor="text1"/>
          <w:sz w:val="22"/>
          <w:szCs w:val="22"/>
          <w:lang w:eastAsia="it-IT"/>
          <w14:textFill>
            <w14:solidFill>
              <w14:schemeClr w14:val="tx1"/>
            </w14:solidFill>
          </w14:textFill>
        </w:rPr>
      </w:pPr>
      <w:r>
        <w:rPr>
          <w:rFonts w:ascii="Verdana" w:hAnsi="Verdana" w:eastAsia="Times New Roman" w:cs="Verdana"/>
          <w:i/>
          <w:iCs/>
          <w:color w:val="000000" w:themeColor="text1"/>
          <w:sz w:val="22"/>
          <w:szCs w:val="22"/>
          <w:lang w:eastAsia="it-IT"/>
          <w14:textFill>
            <w14:solidFill>
              <w14:schemeClr w14:val="tx1"/>
            </w14:solidFill>
          </w14:textFill>
        </w:rPr>
        <w:t>I criteri interpretativi sono dettati dall’art. 12 preleggi, mentre pur quando una norma, o un sistema di norme, si prestino a diverse interpretazioni, tutte plausibili, dovere primario dell’interprete, e specie del giudice, è di perseguire l’interpretazione più corretta e non una qualsiasi di quelle che il testo consente; certo essendo, altresì, che il giudice non crea il diritto, ma opera secondo i criteri ermeneutici noti ed entro i limiti del diritto positivo, atteso che le scelte di politica del diritto sono riservate al legislatore ed al giudice compete solo di interpretare la norma nei limiti delle opzioni ermeneutiche più corrette dell’enunciato.</w:t>
      </w:r>
    </w:p>
    <w:p>
      <w:pPr>
        <w:pStyle w:val="49"/>
        <w:ind w:left="0"/>
        <w:jc w:val="both"/>
        <w:rPr>
          <w:rFonts w:ascii="Verdana" w:hAnsi="Verdana" w:eastAsia="Times New Roman" w:cs="Verdana"/>
          <w:i/>
          <w:iCs/>
          <w:color w:val="000000" w:themeColor="text1"/>
          <w:sz w:val="22"/>
          <w:szCs w:val="22"/>
          <w:lang w:eastAsia="it-IT"/>
          <w14:textFill>
            <w14:solidFill>
              <w14:schemeClr w14:val="tx1"/>
            </w14:solidFill>
          </w14:textFill>
        </w:rPr>
      </w:pPr>
      <w:r>
        <w:rPr>
          <w:rFonts w:ascii="Verdana" w:hAnsi="Verdana" w:eastAsia="Times New Roman" w:cs="Verdana"/>
          <w:i/>
          <w:iCs/>
          <w:color w:val="000000" w:themeColor="text1"/>
          <w:sz w:val="22"/>
          <w:szCs w:val="22"/>
          <w:lang w:eastAsia="it-IT"/>
          <w14:textFill>
            <w14:solidFill>
              <w14:schemeClr w14:val="tx1"/>
            </w14:solidFill>
          </w14:textFill>
        </w:rPr>
        <w:t>E’ in tal senso, pertanto, che la funzione assolta dalla giurisprudenza è di natura “dichiarativa”, giacchè riferita ad una preesistente disposizione di legge, della quale è volta a riconoscere l’esistenza e l’effettiva portata, “con esclusione formale di un’efficacia direttamente creativa”.</w:t>
      </w:r>
    </w:p>
    <w:p>
      <w:pPr>
        <w:pStyle w:val="49"/>
        <w:ind w:left="0"/>
        <w:jc w:val="both"/>
        <w:rPr>
          <w:rFonts w:ascii="Verdana" w:hAnsi="Verdana" w:eastAsia="Times New Roman" w:cs="Verdana"/>
          <w:i/>
          <w:iCs/>
          <w:color w:val="000000" w:themeColor="text1"/>
          <w:sz w:val="22"/>
          <w:szCs w:val="22"/>
          <w:lang w:eastAsia="it-IT"/>
          <w14:textFill>
            <w14:solidFill>
              <w14:schemeClr w14:val="tx1"/>
            </w14:solidFill>
          </w14:textFill>
        </w:rPr>
      </w:pPr>
      <w:r>
        <w:rPr>
          <w:rFonts w:ascii="Verdana" w:hAnsi="Verdana" w:eastAsia="Times New Roman" w:cs="Verdana"/>
          <w:i/>
          <w:iCs/>
          <w:color w:val="000000" w:themeColor="text1"/>
          <w:sz w:val="22"/>
          <w:szCs w:val="22"/>
          <w:lang w:eastAsia="it-IT"/>
          <w14:textFill>
            <w14:solidFill>
              <w14:schemeClr w14:val="tx1"/>
            </w14:solidFill>
          </w14:textFill>
        </w:rPr>
        <w:t>Sicchè, l’attività interpretativa giudiziale è segnata, anzitutto, dal limite di tolleranza ed elasticità dell’enunciato, ossia del significante testuale della disposizione che ha posto, previamente, il legislatore e dai cui plurimi significati possibili (e non oltre) muove necessariamente la dinamica dell’inveramento della norma nella concretezza dell’ordinamento ad opera della giurisprudenza stessa.</w:t>
      </w:r>
    </w:p>
    <w:p>
      <w:pPr>
        <w:pStyle w:val="49"/>
        <w:ind w:left="0"/>
        <w:jc w:val="both"/>
        <w:rPr>
          <w:rFonts w:ascii="Verdana" w:hAnsi="Verdana" w:eastAsia="Times New Roman" w:cs="Verdana"/>
          <w:i/>
          <w:iCs/>
          <w:color w:val="000000" w:themeColor="text1"/>
          <w:sz w:val="22"/>
          <w:szCs w:val="22"/>
          <w:lang w:eastAsia="it-IT"/>
          <w14:textFill>
            <w14:solidFill>
              <w14:schemeClr w14:val="tx1"/>
            </w14:solidFill>
          </w14:textFill>
        </w:rPr>
      </w:pPr>
      <w:r>
        <w:rPr>
          <w:rFonts w:ascii="Verdana" w:hAnsi="Verdana" w:eastAsia="Times New Roman" w:cs="Verdana"/>
          <w:i/>
          <w:iCs/>
          <w:color w:val="000000" w:themeColor="text1"/>
          <w:sz w:val="22"/>
          <w:szCs w:val="22"/>
          <w:lang w:eastAsia="it-IT"/>
          <w14:textFill>
            <w14:solidFill>
              <w14:schemeClr w14:val="tx1"/>
            </w14:solidFill>
          </w14:textFill>
        </w:rPr>
        <w:t>Secondo l’art. 12, comma 2, delle citate disposizioni preliminari, quando una controversia non può essere decisa con una specifica disposizione – da interpretarsi, ai sensi dell’art. 12, comma 1, secondo i canoni dell’interpretazione letterale, sistematica, teleologica e storica – il giudice ricorre all’analogia legis, ovvero estende al caso non previsto la norma positiva dettata per casi simili o materie analoghe.</w:t>
      </w:r>
    </w:p>
    <w:p>
      <w:pPr>
        <w:pStyle w:val="49"/>
        <w:ind w:left="0"/>
        <w:jc w:val="both"/>
        <w:rPr>
          <w:rFonts w:ascii="Verdana" w:hAnsi="Verdana" w:eastAsia="Times New Roman" w:cs="Verdana"/>
          <w:i/>
          <w:iCs/>
          <w:color w:val="000000" w:themeColor="text1"/>
          <w:sz w:val="22"/>
          <w:szCs w:val="22"/>
          <w:lang w:eastAsia="it-IT"/>
          <w14:textFill>
            <w14:solidFill>
              <w14:schemeClr w14:val="tx1"/>
            </w14:solidFill>
          </w14:textFill>
        </w:rPr>
      </w:pPr>
      <w:r>
        <w:rPr>
          <w:rFonts w:ascii="Verdana" w:hAnsi="Verdana" w:eastAsia="Times New Roman" w:cs="Verdana"/>
          <w:i/>
          <w:iCs/>
          <w:color w:val="000000" w:themeColor="text1"/>
          <w:sz w:val="22"/>
          <w:szCs w:val="22"/>
          <w:lang w:eastAsia="it-IT"/>
          <w14:textFill>
            <w14:solidFill>
              <w14:schemeClr w14:val="tx1"/>
            </w14:solidFill>
          </w14:textFill>
        </w:rPr>
        <w:t>E se, ciò nonostante, permane il dubbio interpretativo, troverà applicazione l’analogia iuris, ossia l’applicazione dei principi generali dell’ordinamento giuridico.</w:t>
      </w:r>
    </w:p>
    <w:p>
      <w:pPr>
        <w:pStyle w:val="49"/>
        <w:ind w:left="0"/>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 xml:space="preserve">Invero, l’art. 12 preleggi è </w:t>
      </w:r>
      <w:r>
        <w:rPr>
          <w:rFonts w:hint="default" w:ascii="Verdana" w:hAnsi="Verdana" w:eastAsia="Times New Roman" w:cs="Verdana"/>
          <w:color w:val="000000" w:themeColor="text1"/>
          <w:sz w:val="22"/>
          <w:szCs w:val="22"/>
          <w:lang w:val="en-US" w:eastAsia="it-IT"/>
          <w14:textFill>
            <w14:solidFill>
              <w14:schemeClr w14:val="tx1"/>
            </w14:solidFill>
          </w14:textFill>
        </w:rPr>
        <w:t xml:space="preserve">strutturato </w:t>
      </w:r>
      <w:r>
        <w:rPr>
          <w:rFonts w:ascii="Verdana" w:hAnsi="Verdana" w:eastAsia="Times New Roman" w:cs="Verdana"/>
          <w:color w:val="000000" w:themeColor="text1"/>
          <w:sz w:val="22"/>
          <w:szCs w:val="22"/>
          <w:lang w:eastAsia="it-IT"/>
          <w14:textFill>
            <w14:solidFill>
              <w14:schemeClr w14:val="tx1"/>
            </w14:solidFill>
          </w14:textFill>
        </w:rPr>
        <w:t>come un algoritmo</w:t>
      </w:r>
      <w:r>
        <w:rPr>
          <w:rStyle w:val="13"/>
          <w:rFonts w:ascii="Verdana" w:hAnsi="Verdana" w:eastAsia="Times New Roman" w:cs="Verdana"/>
          <w:color w:val="000000" w:themeColor="text1"/>
          <w:sz w:val="22"/>
          <w:szCs w:val="22"/>
          <w:lang w:val="en-US" w:eastAsia="it-IT"/>
          <w14:textFill>
            <w14:solidFill>
              <w14:schemeClr w14:val="tx1"/>
            </w14:solidFill>
          </w14:textFill>
        </w:rPr>
        <w:footnoteReference w:id="35"/>
      </w:r>
      <w:r>
        <w:rPr>
          <w:rFonts w:ascii="Verdana" w:hAnsi="Verdana" w:eastAsia="Times New Roman" w:cs="Verdana"/>
          <w:color w:val="000000" w:themeColor="text1"/>
          <w:sz w:val="22"/>
          <w:szCs w:val="22"/>
          <w:lang w:eastAsia="it-IT"/>
          <w14:textFill>
            <w14:solidFill>
              <w14:schemeClr w14:val="tx1"/>
            </w14:solidFill>
          </w14:textFill>
        </w:rPr>
        <w:t>.</w:t>
      </w:r>
    </w:p>
    <w:p>
      <w:p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L’algoritmo è una sequenza predeterminata di operazioni per giungere ad un risultato; è:</w:t>
      </w:r>
    </w:p>
    <w:p>
      <w:pPr>
        <w:pStyle w:val="49"/>
        <w:numPr>
          <w:ilvl w:val="0"/>
          <w:numId w:val="12"/>
        </w:num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sequenziale, ovvero contiene  la previsione di una serie predeterminata di operazioni;</w:t>
      </w:r>
    </w:p>
    <w:p>
      <w:pPr>
        <w:pStyle w:val="49"/>
        <w:numPr>
          <w:ilvl w:val="0"/>
          <w:numId w:val="12"/>
        </w:num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può essere condizionale, ovvero può contenere condizioni (se…allora);</w:t>
      </w:r>
    </w:p>
    <w:p>
      <w:pPr>
        <w:pStyle w:val="49"/>
        <w:numPr>
          <w:ilvl w:val="0"/>
          <w:numId w:val="12"/>
        </w:num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può essere iterativo, ovvero si possono ripetere più volte le stesse istruzioni a seconda del verificarsi o del non verificarsi di una condizione.</w:t>
      </w:r>
    </w:p>
    <w:p>
      <w:p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 xml:space="preserve">L’art. 12 </w:t>
      </w:r>
      <w:r>
        <w:rPr>
          <w:rFonts w:hint="default" w:ascii="Verdana" w:hAnsi="Verdana" w:eastAsia="Times New Roman" w:cs="Verdana"/>
          <w:color w:val="000000" w:themeColor="text1"/>
          <w:sz w:val="22"/>
          <w:szCs w:val="22"/>
          <w:lang w:val="en-US" w:eastAsia="it-IT"/>
          <w14:textFill>
            <w14:solidFill>
              <w14:schemeClr w14:val="tx1"/>
            </w14:solidFill>
          </w14:textFill>
        </w:rPr>
        <w:t>ha la struttura di</w:t>
      </w:r>
      <w:r>
        <w:rPr>
          <w:rFonts w:ascii="Verdana" w:hAnsi="Verdana" w:eastAsia="Times New Roman" w:cs="Verdana"/>
          <w:color w:val="000000" w:themeColor="text1"/>
          <w:sz w:val="22"/>
          <w:szCs w:val="22"/>
          <w:lang w:eastAsia="it-IT"/>
          <w14:textFill>
            <w14:solidFill>
              <w14:schemeClr w14:val="tx1"/>
            </w14:solidFill>
          </w14:textFill>
        </w:rPr>
        <w:t xml:space="preserve"> algoritmo perché è una sequenza di operazioni (interpretazioni, con gerarchia diversa) per giungere ad un risultato; l’art. 12 è:</w:t>
      </w:r>
    </w:p>
    <w:p>
      <w:pPr>
        <w:pStyle w:val="49"/>
        <w:numPr>
          <w:ilvl w:val="0"/>
          <w:numId w:val="13"/>
        </w:num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 xml:space="preserve">sequenziale, in quanto prevede un </w:t>
      </w:r>
      <w:r>
        <w:rPr>
          <w:rFonts w:ascii="Verdana" w:hAnsi="Verdana" w:eastAsia="Times New Roman" w:cs="Verdana"/>
          <w:i/>
          <w:color w:val="000000" w:themeColor="text1"/>
          <w:sz w:val="22"/>
          <w:szCs w:val="22"/>
          <w:lang w:eastAsia="it-IT"/>
          <w14:textFill>
            <w14:solidFill>
              <w14:schemeClr w14:val="tx1"/>
            </w14:solidFill>
          </w14:textFill>
        </w:rPr>
        <w:t>iter</w:t>
      </w:r>
      <w:r>
        <w:rPr>
          <w:rFonts w:ascii="Verdana" w:hAnsi="Verdana" w:eastAsia="Times New Roman" w:cs="Verdana"/>
          <w:color w:val="000000" w:themeColor="text1"/>
          <w:sz w:val="22"/>
          <w:szCs w:val="22"/>
          <w:lang w:eastAsia="it-IT"/>
          <w14:textFill>
            <w14:solidFill>
              <w14:schemeClr w14:val="tx1"/>
            </w14:solidFill>
          </w14:textFill>
        </w:rPr>
        <w:t xml:space="preserve"> procedimentale che inizia con l’interpretazione letterale (IL) ed interpretazione teleologica o per </w:t>
      </w:r>
      <w:r>
        <w:rPr>
          <w:rFonts w:ascii="Verdana" w:hAnsi="Verdana" w:eastAsia="Times New Roman" w:cs="Verdana"/>
          <w:i/>
          <w:color w:val="000000" w:themeColor="text1"/>
          <w:sz w:val="22"/>
          <w:szCs w:val="22"/>
          <w:lang w:eastAsia="it-IT"/>
          <w14:textFill>
            <w14:solidFill>
              <w14:schemeClr w14:val="tx1"/>
            </w14:solidFill>
          </w14:textFill>
        </w:rPr>
        <w:t>ratio</w:t>
      </w:r>
      <w:r>
        <w:rPr>
          <w:rFonts w:ascii="Verdana" w:hAnsi="Verdana" w:eastAsia="Times New Roman" w:cs="Verdana"/>
          <w:color w:val="000000" w:themeColor="text1"/>
          <w:sz w:val="22"/>
          <w:szCs w:val="22"/>
          <w:lang w:eastAsia="it-IT"/>
          <w14:textFill>
            <w14:solidFill>
              <w14:schemeClr w14:val="tx1"/>
            </w14:solidFill>
          </w14:textFill>
        </w:rPr>
        <w:t xml:space="preserve"> (IR), per poi procedere a quella per analogia (AL) e per principi generali (AI);</w:t>
      </w:r>
    </w:p>
    <w:p>
      <w:pPr>
        <w:pStyle w:val="49"/>
        <w:numPr>
          <w:ilvl w:val="0"/>
          <w:numId w:val="13"/>
        </w:num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 xml:space="preserve">condizionale, prevedendo alcune condizioni come l’assenza di precisa disposizione (IL = 0) per legittimare l’interpretazione per analogia </w:t>
      </w:r>
      <w:r>
        <w:rPr>
          <w:rFonts w:ascii="Verdana" w:hAnsi="Verdana" w:eastAsia="Times New Roman" w:cs="Verdana"/>
          <w:i/>
          <w:color w:val="000000" w:themeColor="text1"/>
          <w:sz w:val="22"/>
          <w:szCs w:val="22"/>
          <w:lang w:eastAsia="it-IT"/>
          <w14:textFill>
            <w14:solidFill>
              <w14:schemeClr w14:val="tx1"/>
            </w14:solidFill>
          </w14:textFill>
        </w:rPr>
        <w:t xml:space="preserve">legis </w:t>
      </w:r>
      <w:r>
        <w:rPr>
          <w:rFonts w:ascii="Verdana" w:hAnsi="Verdana" w:eastAsia="Times New Roman" w:cs="Verdana"/>
          <w:color w:val="000000" w:themeColor="text1"/>
          <w:sz w:val="22"/>
          <w:szCs w:val="22"/>
          <w:lang w:eastAsia="it-IT"/>
          <w14:textFill>
            <w14:solidFill>
              <w14:schemeClr w14:val="tx1"/>
            </w14:solidFill>
          </w14:textFill>
        </w:rPr>
        <w:t xml:space="preserve">(AL), nonchè il caso dubbio (AL≈0) per legittimare l’analogia </w:t>
      </w:r>
      <w:r>
        <w:rPr>
          <w:rFonts w:ascii="Verdana" w:hAnsi="Verdana" w:eastAsia="Times New Roman" w:cs="Verdana"/>
          <w:i/>
          <w:color w:val="000000" w:themeColor="text1"/>
          <w:sz w:val="22"/>
          <w:szCs w:val="22"/>
          <w:lang w:eastAsia="it-IT"/>
          <w14:textFill>
            <w14:solidFill>
              <w14:schemeClr w14:val="tx1"/>
            </w14:solidFill>
          </w14:textFill>
        </w:rPr>
        <w:t xml:space="preserve">iuris </w:t>
      </w:r>
      <w:r>
        <w:rPr>
          <w:rFonts w:ascii="Verdana" w:hAnsi="Verdana" w:eastAsia="Times New Roman" w:cs="Verdana"/>
          <w:color w:val="000000" w:themeColor="text1"/>
          <w:sz w:val="22"/>
          <w:szCs w:val="22"/>
          <w:lang w:eastAsia="it-IT"/>
          <w14:textFill>
            <w14:solidFill>
              <w14:schemeClr w14:val="tx1"/>
            </w14:solidFill>
          </w14:textFill>
        </w:rPr>
        <w:t>(AI);</w:t>
      </w:r>
    </w:p>
    <w:p>
      <w:pPr>
        <w:pStyle w:val="49"/>
        <w:numPr>
          <w:ilvl w:val="0"/>
          <w:numId w:val="13"/>
        </w:num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 xml:space="preserve">iterativo in quanto prevede un ciclo, causato da condizioni; se si attiva l’analogia </w:t>
      </w:r>
      <w:r>
        <w:rPr>
          <w:rFonts w:ascii="Verdana" w:hAnsi="Verdana" w:eastAsia="Times New Roman" w:cs="Verdana"/>
          <w:i/>
          <w:color w:val="000000" w:themeColor="text1"/>
          <w:sz w:val="22"/>
          <w:szCs w:val="22"/>
          <w:lang w:eastAsia="it-IT"/>
          <w14:textFill>
            <w14:solidFill>
              <w14:schemeClr w14:val="tx1"/>
            </w14:solidFill>
          </w14:textFill>
        </w:rPr>
        <w:t>legis</w:t>
      </w:r>
      <w:r>
        <w:rPr>
          <w:rFonts w:ascii="Verdana" w:hAnsi="Verdana" w:eastAsia="Times New Roman" w:cs="Verdana"/>
          <w:color w:val="000000" w:themeColor="text1"/>
          <w:sz w:val="22"/>
          <w:szCs w:val="22"/>
          <w:lang w:eastAsia="it-IT"/>
          <w14:textFill>
            <w14:solidFill>
              <w14:schemeClr w14:val="tx1"/>
            </w14:solidFill>
          </w14:textFill>
        </w:rPr>
        <w:t xml:space="preserve"> (AL), allora la disposizione analogica dovrà essere decodificata ricominciando dall’interpretazione letterale (IL).</w:t>
      </w:r>
    </w:p>
    <w:p>
      <w:pPr>
        <w:rPr>
          <w:rStyle w:val="9"/>
          <w:rFonts w:ascii="Verdana" w:hAnsi="Verdana" w:cs="Verdana"/>
          <w:b/>
          <w:bCs/>
          <w:i w:val="0"/>
          <w:iCs w:val="0"/>
          <w:color w:val="000000"/>
          <w:sz w:val="22"/>
          <w:szCs w:val="22"/>
          <w:shd w:val="clear" w:color="auto" w:fill="FFFFFF"/>
        </w:rPr>
      </w:pPr>
    </w:p>
    <w:p>
      <w:p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 xml:space="preserve">Si afferma che in assenza di un precisa disposizione, l’interprete deve procedere ad analogia </w:t>
      </w:r>
      <w:r>
        <w:rPr>
          <w:rFonts w:ascii="Verdana" w:hAnsi="Verdana" w:eastAsia="Times New Roman" w:cs="Verdana"/>
          <w:i/>
          <w:color w:val="000000" w:themeColor="text1"/>
          <w:sz w:val="22"/>
          <w:szCs w:val="22"/>
          <w:lang w:eastAsia="it-IT"/>
          <w14:textFill>
            <w14:solidFill>
              <w14:schemeClr w14:val="tx1"/>
            </w14:solidFill>
          </w14:textFill>
        </w:rPr>
        <w:t xml:space="preserve">legis; </w:t>
      </w:r>
      <w:r>
        <w:rPr>
          <w:rFonts w:ascii="Verdana" w:hAnsi="Verdana" w:eastAsia="Times New Roman" w:cs="Verdana"/>
          <w:color w:val="000000" w:themeColor="text1"/>
          <w:sz w:val="22"/>
          <w:szCs w:val="22"/>
          <w:lang w:eastAsia="it-IT"/>
          <w14:textFill>
            <w14:solidFill>
              <w14:schemeClr w14:val="tx1"/>
            </w14:solidFill>
          </w14:textFill>
        </w:rPr>
        <w:t>ciò vuol dire</w:t>
      </w:r>
      <w:r>
        <w:rPr>
          <w:rStyle w:val="13"/>
          <w:rFonts w:ascii="Verdana" w:hAnsi="Verdana" w:eastAsia="Times New Roman" w:cs="Verdana"/>
          <w:color w:val="000000" w:themeColor="text1"/>
          <w:sz w:val="22"/>
          <w:szCs w:val="22"/>
          <w:lang w:eastAsia="it-IT"/>
          <w14:textFill>
            <w14:solidFill>
              <w14:schemeClr w14:val="tx1"/>
            </w14:solidFill>
          </w14:textFill>
        </w:rPr>
        <w:footnoteReference w:id="36"/>
      </w:r>
      <w:r>
        <w:rPr>
          <w:rFonts w:ascii="Verdana" w:hAnsi="Verdana" w:eastAsia="Times New Roman" w:cs="Verdana"/>
          <w:color w:val="000000" w:themeColor="text1"/>
          <w:sz w:val="22"/>
          <w:szCs w:val="22"/>
          <w:lang w:eastAsia="it-IT"/>
          <w14:textFill>
            <w14:solidFill>
              <w14:schemeClr w14:val="tx1"/>
            </w14:solidFill>
          </w14:textFill>
        </w:rPr>
        <w:t xml:space="preserve"> che la legittimazione all’interpretazione analogica (</w:t>
      </w:r>
      <w:r>
        <w:rPr>
          <w:rFonts w:ascii="Verdana" w:hAnsi="Verdana" w:eastAsia="Times New Roman" w:cs="Verdana"/>
          <w:i/>
          <w:color w:val="000000" w:themeColor="text1"/>
          <w:sz w:val="22"/>
          <w:szCs w:val="22"/>
          <w:lang w:eastAsia="it-IT"/>
          <w14:textFill>
            <w14:solidFill>
              <w14:schemeClr w14:val="tx1"/>
            </w14:solidFill>
          </w14:textFill>
        </w:rPr>
        <w:t>legis</w:t>
      </w:r>
      <w:r>
        <w:rPr>
          <w:rFonts w:ascii="Verdana" w:hAnsi="Verdana" w:eastAsia="Times New Roman" w:cs="Verdana"/>
          <w:color w:val="000000" w:themeColor="text1"/>
          <w:sz w:val="22"/>
          <w:szCs w:val="22"/>
          <w:lang w:eastAsia="it-IT"/>
          <w14:textFill>
            <w14:solidFill>
              <w14:schemeClr w14:val="tx1"/>
            </w14:solidFill>
          </w14:textFill>
        </w:rPr>
        <w:t>) “scatta” in :</w:t>
      </w:r>
    </w:p>
    <w:p>
      <w:pPr>
        <w:pStyle w:val="49"/>
        <w:numPr>
          <w:ilvl w:val="0"/>
          <w:numId w:val="14"/>
        </w:num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assenza totale di una disposizione che sia applicabile al caso (IL=0);</w:t>
      </w:r>
    </w:p>
    <w:p>
      <w:pPr>
        <w:pStyle w:val="49"/>
        <w:numPr>
          <w:ilvl w:val="0"/>
          <w:numId w:val="14"/>
        </w:num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presenza di una disposizione applicabile al caso, ma con un significato non preciso perché contraddetto da altre interpretazioni di pari peso (+IL – IL = 0).</w:t>
      </w:r>
    </w:p>
    <w:p>
      <w:p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Laddove più interpretazioni letterali (IL</w:t>
      </w:r>
      <w:r>
        <w:rPr>
          <w:rFonts w:ascii="Verdana" w:hAnsi="Verdana" w:eastAsia="Times New Roman" w:cs="Verdana"/>
          <w:i/>
          <w:color w:val="000000" w:themeColor="text1"/>
          <w:sz w:val="22"/>
          <w:szCs w:val="22"/>
          <w:lang w:eastAsia="it-IT"/>
          <w14:textFill>
            <w14:solidFill>
              <w14:schemeClr w14:val="tx1"/>
            </w14:solidFill>
          </w14:textFill>
        </w:rPr>
        <w:t>n</w:t>
      </w:r>
      <w:r>
        <w:rPr>
          <w:rStyle w:val="13"/>
          <w:rFonts w:ascii="Verdana" w:hAnsi="Verdana" w:eastAsia="Times New Roman" w:cs="Verdana"/>
          <w:color w:val="000000" w:themeColor="text1"/>
          <w:sz w:val="22"/>
          <w:szCs w:val="22"/>
          <w:lang w:eastAsia="it-IT"/>
          <w14:textFill>
            <w14:solidFill>
              <w14:schemeClr w14:val="tx1"/>
            </w14:solidFill>
          </w14:textFill>
        </w:rPr>
        <w:footnoteReference w:id="37"/>
      </w:r>
      <w:r>
        <w:rPr>
          <w:rFonts w:ascii="Verdana" w:hAnsi="Verdana" w:eastAsia="Times New Roman" w:cs="Verdana"/>
          <w:color w:val="000000" w:themeColor="text1"/>
          <w:sz w:val="22"/>
          <w:szCs w:val="22"/>
          <w:lang w:eastAsia="it-IT"/>
          <w14:textFill>
            <w14:solidFill>
              <w14:schemeClr w14:val="tx1"/>
            </w14:solidFill>
          </w14:textFill>
        </w:rPr>
        <w:t>) si contraddicono, allora non c’è una “</w:t>
      </w:r>
      <w:r>
        <w:rPr>
          <w:rFonts w:ascii="Verdana" w:hAnsi="Verdana" w:eastAsia="Times New Roman" w:cs="Verdana"/>
          <w:i/>
          <w:color w:val="000000" w:themeColor="text1"/>
          <w:sz w:val="22"/>
          <w:szCs w:val="22"/>
          <w:lang w:eastAsia="it-IT"/>
          <w14:textFill>
            <w14:solidFill>
              <w14:schemeClr w14:val="tx1"/>
            </w14:solidFill>
          </w14:textFill>
        </w:rPr>
        <w:t>precisa disposizione</w:t>
      </w:r>
      <w:r>
        <w:rPr>
          <w:rFonts w:ascii="Verdana" w:hAnsi="Verdana" w:eastAsia="Times New Roman" w:cs="Verdana"/>
          <w:color w:val="000000" w:themeColor="text1"/>
          <w:sz w:val="22"/>
          <w:szCs w:val="22"/>
          <w:lang w:eastAsia="it-IT"/>
          <w14:textFill>
            <w14:solidFill>
              <w14:schemeClr w14:val="tx1"/>
            </w14:solidFill>
          </w14:textFill>
        </w:rPr>
        <w:t xml:space="preserve">”, o meglio, </w:t>
      </w:r>
      <w:r>
        <w:rPr>
          <w:rFonts w:ascii="Verdana" w:hAnsi="Verdana" w:eastAsia="Times New Roman" w:cs="Verdana"/>
          <w:i/>
          <w:color w:val="000000" w:themeColor="text1"/>
          <w:sz w:val="22"/>
          <w:szCs w:val="22"/>
          <w:lang w:eastAsia="it-IT"/>
          <w14:textFill>
            <w14:solidFill>
              <w14:schemeClr w14:val="tx1"/>
            </w14:solidFill>
          </w14:textFill>
        </w:rPr>
        <w:t>rectius</w:t>
      </w:r>
      <w:r>
        <w:rPr>
          <w:rFonts w:ascii="Verdana" w:hAnsi="Verdana" w:eastAsia="Times New Roman" w:cs="Verdana"/>
          <w:color w:val="000000" w:themeColor="text1"/>
          <w:sz w:val="22"/>
          <w:szCs w:val="22"/>
          <w:lang w:eastAsia="it-IT"/>
          <w14:textFill>
            <w14:solidFill>
              <w14:schemeClr w14:val="tx1"/>
            </w14:solidFill>
          </w14:textFill>
        </w:rPr>
        <w:t>, la disposizione non ha un significato preciso</w:t>
      </w:r>
      <w:r>
        <w:rPr>
          <w:rStyle w:val="13"/>
          <w:rFonts w:ascii="Verdana" w:hAnsi="Verdana" w:eastAsia="Times New Roman" w:cs="Verdana"/>
          <w:color w:val="000000" w:themeColor="text1"/>
          <w:sz w:val="22"/>
          <w:szCs w:val="22"/>
          <w:lang w:eastAsia="it-IT"/>
          <w14:textFill>
            <w14:solidFill>
              <w14:schemeClr w14:val="tx1"/>
            </w14:solidFill>
          </w14:textFill>
        </w:rPr>
        <w:footnoteReference w:id="38"/>
      </w:r>
      <w:r>
        <w:rPr>
          <w:rFonts w:ascii="Verdana" w:hAnsi="Verdana" w:eastAsia="Times New Roman" w:cs="Verdana"/>
          <w:color w:val="000000" w:themeColor="text1"/>
          <w:sz w:val="22"/>
          <w:szCs w:val="22"/>
          <w:lang w:eastAsia="it-IT"/>
          <w14:textFill>
            <w14:solidFill>
              <w14:schemeClr w14:val="tx1"/>
            </w14:solidFill>
          </w14:textFill>
        </w:rPr>
        <w:t>, così legittimando l’interpretazione analogica (IP = AL &lt;=&gt;IL = 0</w:t>
      </w:r>
      <w:r>
        <w:rPr>
          <w:rStyle w:val="13"/>
          <w:rFonts w:ascii="Verdana" w:hAnsi="Verdana" w:eastAsia="Times New Roman" w:cs="Verdana"/>
          <w:color w:val="000000" w:themeColor="text1"/>
          <w:sz w:val="22"/>
          <w:szCs w:val="22"/>
          <w:lang w:eastAsia="it-IT"/>
          <w14:textFill>
            <w14:solidFill>
              <w14:schemeClr w14:val="tx1"/>
            </w14:solidFill>
          </w14:textFill>
        </w:rPr>
        <w:footnoteReference w:id="39"/>
      </w:r>
      <w:r>
        <w:rPr>
          <w:rFonts w:ascii="Verdana" w:hAnsi="Verdana" w:eastAsia="Times New Roman" w:cs="Verdana"/>
          <w:color w:val="000000" w:themeColor="text1"/>
          <w:sz w:val="22"/>
          <w:szCs w:val="22"/>
          <w:lang w:eastAsia="it-IT"/>
          <w14:textFill>
            <w14:solidFill>
              <w14:schemeClr w14:val="tx1"/>
            </w14:solidFill>
          </w14:textFill>
        </w:rPr>
        <w:t>).</w:t>
      </w:r>
    </w:p>
    <w:p>
      <w:p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D’altronde, più interpretazioni possono comunque essere composte</w:t>
      </w:r>
      <w:r>
        <w:rPr>
          <w:rStyle w:val="13"/>
          <w:rFonts w:ascii="Verdana" w:hAnsi="Verdana" w:eastAsia="Times New Roman" w:cs="Verdana"/>
          <w:color w:val="000000" w:themeColor="text1"/>
          <w:sz w:val="22"/>
          <w:szCs w:val="22"/>
          <w:lang w:eastAsia="it-IT"/>
          <w14:textFill>
            <w14:solidFill>
              <w14:schemeClr w14:val="tx1"/>
            </w14:solidFill>
          </w14:textFill>
        </w:rPr>
        <w:footnoteReference w:id="40"/>
      </w:r>
      <w:r>
        <w:rPr>
          <w:rFonts w:ascii="Verdana" w:hAnsi="Verdana" w:eastAsia="Times New Roman" w:cs="Verdana"/>
          <w:color w:val="000000" w:themeColor="text1"/>
          <w:sz w:val="22"/>
          <w:szCs w:val="22"/>
          <w:lang w:eastAsia="it-IT"/>
          <w14:textFill>
            <w14:solidFill>
              <w14:schemeClr w14:val="tx1"/>
            </w14:solidFill>
          </w14:textFill>
        </w:rPr>
        <w:t xml:space="preserve"> tra loro, al fine di trovare il significato corretto.</w:t>
      </w:r>
    </w:p>
    <w:p>
      <w:p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Pertanto, nel caso di più interpretazioni di uguale tipologia che portino ad una contraddizione, bisognerà considerarle neutralizzate perché uguali a 0 (+IL – IL = 0).</w:t>
      </w:r>
    </w:p>
    <w:p>
      <w:p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Quanto appena enunciato è in linea con l’ordinamento giuridico; infatti:</w:t>
      </w:r>
    </w:p>
    <w:p>
      <w:pPr>
        <w:pStyle w:val="49"/>
        <w:numPr>
          <w:ilvl w:val="0"/>
          <w:numId w:val="15"/>
        </w:num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l’ordinamento giuridico, in quanto insieme di disposizione di leggi</w:t>
      </w:r>
      <w:r>
        <w:rPr>
          <w:rStyle w:val="13"/>
          <w:rFonts w:ascii="Verdana" w:hAnsi="Verdana" w:eastAsia="Times New Roman" w:cs="Verdana"/>
          <w:color w:val="000000" w:themeColor="text1"/>
          <w:sz w:val="22"/>
          <w:szCs w:val="22"/>
          <w:lang w:eastAsia="it-IT"/>
          <w14:textFill>
            <w14:solidFill>
              <w14:schemeClr w14:val="tx1"/>
            </w14:solidFill>
          </w14:textFill>
        </w:rPr>
        <w:footnoteReference w:id="41"/>
      </w:r>
      <w:r>
        <w:rPr>
          <w:rFonts w:ascii="Verdana" w:hAnsi="Verdana" w:eastAsia="Times New Roman" w:cs="Verdana"/>
          <w:color w:val="000000" w:themeColor="text1"/>
          <w:sz w:val="22"/>
          <w:szCs w:val="22"/>
          <w:lang w:eastAsia="it-IT"/>
          <w14:textFill>
            <w14:solidFill>
              <w14:schemeClr w14:val="tx1"/>
            </w14:solidFill>
          </w14:textFill>
        </w:rPr>
        <w:t>, è incompatibile con la contraddizione</w:t>
      </w:r>
      <w:r>
        <w:rPr>
          <w:rStyle w:val="13"/>
          <w:rFonts w:ascii="Verdana" w:hAnsi="Verdana" w:eastAsia="Times New Roman" w:cs="Verdana"/>
          <w:color w:val="000000" w:themeColor="text1"/>
          <w:sz w:val="22"/>
          <w:szCs w:val="22"/>
          <w:lang w:eastAsia="it-IT"/>
          <w14:textFill>
            <w14:solidFill>
              <w14:schemeClr w14:val="tx1"/>
            </w14:solidFill>
          </w14:textFill>
        </w:rPr>
        <w:footnoteReference w:id="42"/>
      </w:r>
      <w:r>
        <w:rPr>
          <w:rFonts w:ascii="Verdana" w:hAnsi="Verdana" w:eastAsia="Times New Roman" w:cs="Verdana"/>
          <w:color w:val="000000" w:themeColor="text1"/>
          <w:sz w:val="22"/>
          <w:szCs w:val="22"/>
          <w:lang w:eastAsia="it-IT"/>
          <w14:textFill>
            <w14:solidFill>
              <w14:schemeClr w14:val="tx1"/>
            </w14:solidFill>
          </w14:textFill>
        </w:rPr>
        <w:t>; la contraddizione è la conseguenza dell’incertezza del diritto, che diversamente l’ordinamento vuole evitare;</w:t>
      </w:r>
    </w:p>
    <w:p>
      <w:pPr>
        <w:pStyle w:val="49"/>
        <w:numPr>
          <w:ilvl w:val="0"/>
          <w:numId w:val="15"/>
        </w:num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il principio di non contraddizione</w:t>
      </w:r>
      <w:r>
        <w:rPr>
          <w:rStyle w:val="13"/>
          <w:rFonts w:ascii="Verdana" w:hAnsi="Verdana" w:eastAsia="Times New Roman" w:cs="Verdana"/>
          <w:color w:val="000000" w:themeColor="text1"/>
          <w:sz w:val="22"/>
          <w:szCs w:val="22"/>
          <w:lang w:eastAsia="it-IT"/>
          <w14:textFill>
            <w14:solidFill>
              <w14:schemeClr w14:val="tx1"/>
            </w14:solidFill>
          </w14:textFill>
        </w:rPr>
        <w:footnoteReference w:id="43"/>
      </w:r>
      <w:r>
        <w:rPr>
          <w:rFonts w:ascii="Verdana" w:hAnsi="Verdana" w:eastAsia="Times New Roman" w:cs="Verdana"/>
          <w:color w:val="000000" w:themeColor="text1"/>
          <w:sz w:val="22"/>
          <w:szCs w:val="22"/>
          <w:lang w:eastAsia="it-IT"/>
          <w14:textFill>
            <w14:solidFill>
              <w14:schemeClr w14:val="tx1"/>
            </w14:solidFill>
          </w14:textFill>
        </w:rPr>
        <w:t xml:space="preserve"> trova la sua principale linfa legittimante nell’art. 3 Cost. che impone di trattare in modo uguale situazioni giuridiche uguali e, per l’effetto, di non trattare in modo uguale situazioni giuridiche diseguali.</w:t>
      </w:r>
    </w:p>
    <w:p>
      <w:pPr>
        <w:jc w:val="both"/>
        <w:rPr>
          <w:rFonts w:ascii="Verdana" w:hAnsi="Verdana" w:eastAsia="Times New Roman" w:cs="Verdana"/>
          <w:color w:val="000000" w:themeColor="text1"/>
          <w:sz w:val="22"/>
          <w:szCs w:val="22"/>
          <w:lang w:eastAsia="it-IT"/>
          <w14:textFill>
            <w14:solidFill>
              <w14:schemeClr w14:val="tx1"/>
            </w14:solidFill>
          </w14:textFill>
        </w:rPr>
      </w:pPr>
    </w:p>
    <w:p>
      <w:pPr>
        <w:jc w:val="both"/>
        <w:rPr>
          <w:rFonts w:ascii="Verdana" w:hAnsi="Verdana" w:eastAsia="Times New Roman" w:cs="Verdana"/>
          <w:color w:val="000000" w:themeColor="text1"/>
          <w:sz w:val="22"/>
          <w:szCs w:val="22"/>
          <w:lang w:eastAsia="it-IT"/>
          <w14:textFill>
            <w14:solidFill>
              <w14:schemeClr w14:val="tx1"/>
            </w14:solidFill>
          </w14:textFill>
        </w:rPr>
      </w:pPr>
    </w:p>
    <w:p>
      <w:pPr>
        <w:pStyle w:val="2"/>
        <w:numPr>
          <w:ilvl w:val="1"/>
          <w:numId w:val="3"/>
        </w:numPr>
        <w:spacing w:line="240" w:lineRule="auto"/>
        <w:jc w:val="both"/>
        <w:rPr>
          <w:rFonts w:ascii="Verdana" w:hAnsi="Verdana" w:cs="Verdana"/>
          <w:color w:val="000000" w:themeColor="text1"/>
          <w:sz w:val="22"/>
          <w:szCs w:val="22"/>
          <w14:textFill>
            <w14:solidFill>
              <w14:schemeClr w14:val="tx1"/>
            </w14:solidFill>
          </w14:textFill>
        </w:rPr>
      </w:pPr>
      <w:bookmarkStart w:id="7" w:name="_Ref522188560"/>
      <w:r>
        <w:rPr>
          <w:rFonts w:ascii="Verdana" w:hAnsi="Verdana" w:cs="Verdana"/>
          <w:color w:val="000000" w:themeColor="text1"/>
          <w:sz w:val="22"/>
          <w:szCs w:val="22"/>
          <w14:textFill>
            <w14:solidFill>
              <w14:schemeClr w14:val="tx1"/>
            </w14:solidFill>
          </w14:textFill>
        </w:rPr>
        <w:t>La formula per interpretare la legge</w:t>
      </w:r>
      <w:bookmarkEnd w:id="7"/>
    </w:p>
    <w:p>
      <w:pPr>
        <w:jc w:val="both"/>
        <w:rPr>
          <w:rFonts w:ascii="Verdana" w:hAnsi="Verdana" w:eastAsia="Times New Roman" w:cs="Verdana"/>
          <w:b/>
          <w:color w:val="000000" w:themeColor="text1"/>
          <w:sz w:val="22"/>
          <w:szCs w:val="22"/>
          <w:lang w:eastAsia="it-IT"/>
          <w14:textFill>
            <w14:solidFill>
              <w14:schemeClr w14:val="tx1"/>
            </w14:solidFill>
          </w14:textFill>
        </w:rPr>
      </w:pPr>
    </w:p>
    <w:p>
      <w:p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 xml:space="preserve">Anche in questo caso, si ritiene possibile elaborare un modello </w:t>
      </w:r>
      <w:r>
        <w:rPr>
          <w:rFonts w:hint="default" w:ascii="Verdana" w:hAnsi="Verdana" w:eastAsia="Times New Roman" w:cs="Verdana"/>
          <w:color w:val="000000" w:themeColor="text1"/>
          <w:sz w:val="22"/>
          <w:szCs w:val="22"/>
          <w:lang w:val="en-US" w:eastAsia="it-IT"/>
          <w14:textFill>
            <w14:solidFill>
              <w14:schemeClr w14:val="tx1"/>
            </w14:solidFill>
          </w14:textFill>
        </w:rPr>
        <w:t>almeno logico</w:t>
      </w:r>
      <w:r>
        <w:rPr>
          <w:rFonts w:ascii="Verdana" w:hAnsi="Verdana" w:eastAsia="Times New Roman" w:cs="Verdana"/>
          <w:color w:val="000000" w:themeColor="text1"/>
          <w:sz w:val="22"/>
          <w:szCs w:val="22"/>
          <w:lang w:eastAsia="it-IT"/>
          <w14:textFill>
            <w14:solidFill>
              <w14:schemeClr w14:val="tx1"/>
            </w14:solidFill>
          </w14:textFill>
        </w:rPr>
        <w:t xml:space="preserve">, che permetta di risolvere i conflitti interpretativi alla luce del </w:t>
      </w:r>
      <w:r>
        <w:rPr>
          <w:rFonts w:ascii="Verdana" w:hAnsi="Verdana" w:eastAsia="Times New Roman" w:cs="Verdana"/>
          <w:i/>
          <w:color w:val="000000" w:themeColor="text1"/>
          <w:sz w:val="22"/>
          <w:szCs w:val="22"/>
          <w:lang w:eastAsia="it-IT"/>
          <w14:textFill>
            <w14:solidFill>
              <w14:schemeClr w14:val="tx1"/>
            </w14:solidFill>
          </w14:textFill>
        </w:rPr>
        <w:t>dictum</w:t>
      </w:r>
      <w:r>
        <w:rPr>
          <w:rFonts w:ascii="Verdana" w:hAnsi="Verdana" w:eastAsia="Times New Roman" w:cs="Verdana"/>
          <w:color w:val="000000" w:themeColor="text1"/>
          <w:sz w:val="22"/>
          <w:szCs w:val="22"/>
          <w:lang w:eastAsia="it-IT"/>
          <w14:textFill>
            <w14:solidFill>
              <w14:schemeClr w14:val="tx1"/>
            </w14:solidFill>
          </w14:textFill>
        </w:rPr>
        <w:t xml:space="preserve"> dell’art. 12 preleggi.</w:t>
      </w:r>
    </w:p>
    <w:p>
      <w:p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Poiché per l’art. 12:</w:t>
      </w:r>
    </w:p>
    <w:p>
      <w:pPr>
        <w:pStyle w:val="49"/>
        <w:numPr>
          <w:ilvl w:val="0"/>
          <w:numId w:val="16"/>
        </w:num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sono possibili 4 interpretazioni (comprensive di interpretazioni unite e/o composte tra loro);</w:t>
      </w:r>
    </w:p>
    <w:p>
      <w:pPr>
        <w:pStyle w:val="49"/>
        <w:numPr>
          <w:ilvl w:val="0"/>
          <w:numId w:val="16"/>
        </w:num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 xml:space="preserve">l’analogia </w:t>
      </w:r>
      <w:r>
        <w:rPr>
          <w:rFonts w:ascii="Verdana" w:hAnsi="Verdana" w:eastAsia="Times New Roman" w:cs="Verdana"/>
          <w:i/>
          <w:color w:val="000000" w:themeColor="text1"/>
          <w:sz w:val="22"/>
          <w:szCs w:val="22"/>
          <w:lang w:eastAsia="it-IT"/>
          <w14:textFill>
            <w14:solidFill>
              <w14:schemeClr w14:val="tx1"/>
            </w14:solidFill>
          </w14:textFill>
        </w:rPr>
        <w:t>legis</w:t>
      </w:r>
      <w:r>
        <w:rPr>
          <w:rFonts w:ascii="Verdana" w:hAnsi="Verdana" w:eastAsia="Times New Roman" w:cs="Verdana"/>
          <w:color w:val="000000" w:themeColor="text1"/>
          <w:sz w:val="22"/>
          <w:szCs w:val="22"/>
          <w:lang w:eastAsia="it-IT"/>
          <w14:textFill>
            <w14:solidFill>
              <w14:schemeClr w14:val="tx1"/>
            </w14:solidFill>
          </w14:textFill>
        </w:rPr>
        <w:t xml:space="preserve"> prima, e </w:t>
      </w:r>
      <w:r>
        <w:rPr>
          <w:rFonts w:ascii="Verdana" w:hAnsi="Verdana" w:eastAsia="Times New Roman" w:cs="Verdana"/>
          <w:i/>
          <w:color w:val="000000" w:themeColor="text1"/>
          <w:sz w:val="22"/>
          <w:szCs w:val="22"/>
          <w:lang w:eastAsia="it-IT"/>
          <w14:textFill>
            <w14:solidFill>
              <w14:schemeClr w14:val="tx1"/>
            </w14:solidFill>
          </w14:textFill>
        </w:rPr>
        <w:t>iuris</w:t>
      </w:r>
      <w:r>
        <w:rPr>
          <w:rFonts w:ascii="Verdana" w:hAnsi="Verdana" w:eastAsia="Times New Roman" w:cs="Verdana"/>
          <w:color w:val="000000" w:themeColor="text1"/>
          <w:sz w:val="22"/>
          <w:szCs w:val="22"/>
          <w:lang w:eastAsia="it-IT"/>
          <w14:textFill>
            <w14:solidFill>
              <w14:schemeClr w14:val="tx1"/>
            </w14:solidFill>
          </w14:textFill>
        </w:rPr>
        <w:t xml:space="preserve"> dopo, sono utilizzabili solo in assenza di una “</w:t>
      </w:r>
      <w:r>
        <w:rPr>
          <w:rFonts w:ascii="Verdana" w:hAnsi="Verdana" w:eastAsia="Times New Roman" w:cs="Verdana"/>
          <w:i/>
          <w:color w:val="000000" w:themeColor="text1"/>
          <w:sz w:val="22"/>
          <w:szCs w:val="22"/>
          <w:lang w:eastAsia="it-IT"/>
          <w14:textFill>
            <w14:solidFill>
              <w14:schemeClr w14:val="tx1"/>
            </w14:solidFill>
          </w14:textFill>
        </w:rPr>
        <w:t>precisa disposizione</w:t>
      </w:r>
      <w:r>
        <w:rPr>
          <w:rFonts w:ascii="Verdana" w:hAnsi="Verdana" w:eastAsia="Times New Roman" w:cs="Verdana"/>
          <w:color w:val="000000" w:themeColor="text1"/>
          <w:sz w:val="22"/>
          <w:szCs w:val="22"/>
          <w:lang w:eastAsia="it-IT"/>
          <w14:textFill>
            <w14:solidFill>
              <w14:schemeClr w14:val="tx1"/>
            </w14:solidFill>
          </w14:textFill>
        </w:rPr>
        <w:t>” (&lt;=&gt;IL=0);</w:t>
      </w:r>
    </w:p>
    <w:p>
      <w:pPr>
        <w:pStyle w:val="49"/>
        <w:numPr>
          <w:ilvl w:val="0"/>
          <w:numId w:val="16"/>
        </w:num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in presenza di quattro interpretazioni divergenti, l’interpretazione analogica non può mai prevalere su quella letterale (IL≥IR≥AL≥AI);</w:t>
      </w:r>
    </w:p>
    <w:p>
      <w:pPr>
        <w:pStyle w:val="49"/>
        <w:numPr>
          <w:ilvl w:val="0"/>
          <w:numId w:val="16"/>
        </w:num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in caso di contraddizione tra interpretazioni letterali, il risultato non può ritenersi pari ad una “</w:t>
      </w:r>
      <w:r>
        <w:rPr>
          <w:rFonts w:ascii="Verdana" w:hAnsi="Verdana" w:eastAsia="Times New Roman" w:cs="Verdana"/>
          <w:i/>
          <w:color w:val="000000" w:themeColor="text1"/>
          <w:sz w:val="22"/>
          <w:szCs w:val="22"/>
          <w:lang w:eastAsia="it-IT"/>
          <w14:textFill>
            <w14:solidFill>
              <w14:schemeClr w14:val="tx1"/>
            </w14:solidFill>
          </w14:textFill>
        </w:rPr>
        <w:t>precisa disposizione</w:t>
      </w:r>
      <w:r>
        <w:rPr>
          <w:rFonts w:ascii="Verdana" w:hAnsi="Verdana" w:eastAsia="Times New Roman" w:cs="Verdana"/>
          <w:color w:val="000000" w:themeColor="text1"/>
          <w:sz w:val="22"/>
          <w:szCs w:val="22"/>
          <w:lang w:eastAsia="it-IT"/>
          <w14:textFill>
            <w14:solidFill>
              <w14:schemeClr w14:val="tx1"/>
            </w14:solidFill>
          </w14:textFill>
        </w:rPr>
        <w:t xml:space="preserve">”, così da legittimare l’analogia </w:t>
      </w:r>
      <w:r>
        <w:rPr>
          <w:rFonts w:ascii="Verdana" w:hAnsi="Verdana" w:eastAsia="Times New Roman" w:cs="Verdana"/>
          <w:i/>
          <w:color w:val="000000" w:themeColor="text1"/>
          <w:sz w:val="22"/>
          <w:szCs w:val="22"/>
          <w:lang w:eastAsia="it-IT"/>
          <w14:textFill>
            <w14:solidFill>
              <w14:schemeClr w14:val="tx1"/>
            </w14:solidFill>
          </w14:textFill>
        </w:rPr>
        <w:t>legis</w:t>
      </w:r>
      <w:r>
        <w:rPr>
          <w:rFonts w:ascii="Verdana" w:hAnsi="Verdana" w:eastAsia="Times New Roman" w:cs="Verdana"/>
          <w:color w:val="000000" w:themeColor="text1"/>
          <w:sz w:val="22"/>
          <w:szCs w:val="22"/>
          <w:lang w:eastAsia="it-IT"/>
          <w14:textFill>
            <w14:solidFill>
              <w14:schemeClr w14:val="tx1"/>
            </w14:solidFill>
          </w14:textFill>
        </w:rPr>
        <w:t xml:space="preserve"> ed, in caso di dubbio, l’analogia </w:t>
      </w:r>
      <w:r>
        <w:rPr>
          <w:rFonts w:ascii="Verdana" w:hAnsi="Verdana" w:eastAsia="Times New Roman" w:cs="Verdana"/>
          <w:i/>
          <w:color w:val="000000" w:themeColor="text1"/>
          <w:sz w:val="22"/>
          <w:szCs w:val="22"/>
          <w:lang w:eastAsia="it-IT"/>
          <w14:textFill>
            <w14:solidFill>
              <w14:schemeClr w14:val="tx1"/>
            </w14:solidFill>
          </w14:textFill>
        </w:rPr>
        <w:t>iuris;</w:t>
      </w:r>
    </w:p>
    <w:p>
      <w:pPr>
        <w:pStyle w:val="49"/>
        <w:numPr>
          <w:ilvl w:val="0"/>
          <w:numId w:val="16"/>
        </w:num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 xml:space="preserve">il numero di possibili interpretazioni dello stesso tipo non è fissato in modo  rigido (per cui possiamo assegnare la lettera </w:t>
      </w:r>
      <w:r>
        <w:rPr>
          <w:rFonts w:ascii="Verdana" w:hAnsi="Verdana" w:eastAsia="Times New Roman" w:cs="Verdana"/>
          <w:i/>
          <w:color w:val="000000" w:themeColor="text1"/>
          <w:sz w:val="22"/>
          <w:szCs w:val="22"/>
          <w:lang w:eastAsia="it-IT"/>
          <w14:textFill>
            <w14:solidFill>
              <w14:schemeClr w14:val="tx1"/>
            </w14:solidFill>
          </w14:textFill>
        </w:rPr>
        <w:t>n</w:t>
      </w:r>
      <w:r>
        <w:rPr>
          <w:rFonts w:ascii="Verdana" w:hAnsi="Verdana" w:eastAsia="Times New Roman" w:cs="Verdana"/>
          <w:color w:val="000000" w:themeColor="text1"/>
          <w:sz w:val="22"/>
          <w:szCs w:val="22"/>
          <w:lang w:eastAsia="it-IT"/>
          <w14:textFill>
            <w14:solidFill>
              <w14:schemeClr w14:val="tx1"/>
            </w14:solidFill>
          </w14:textFill>
        </w:rPr>
        <w:t xml:space="preserve"> per indicare tale variabile);</w:t>
      </w:r>
    </w:p>
    <w:p>
      <w:p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allora è predicabile la seguente formula interpretativa</w:t>
      </w:r>
      <w:r>
        <w:rPr>
          <w:rStyle w:val="13"/>
          <w:rFonts w:ascii="Verdana" w:hAnsi="Verdana" w:eastAsia="Times New Roman" w:cs="Verdana"/>
          <w:color w:val="000000" w:themeColor="text1"/>
          <w:sz w:val="22"/>
          <w:szCs w:val="22"/>
          <w:lang w:eastAsia="it-IT"/>
          <w14:textFill>
            <w14:solidFill>
              <w14:schemeClr w14:val="tx1"/>
            </w14:solidFill>
          </w14:textFill>
        </w:rPr>
        <w:footnoteReference w:id="44"/>
      </w:r>
      <w:r>
        <w:rPr>
          <w:rFonts w:ascii="Verdana" w:hAnsi="Verdana" w:eastAsia="Times New Roman" w:cs="Verdana"/>
          <w:color w:val="000000" w:themeColor="text1"/>
          <w:sz w:val="22"/>
          <w:szCs w:val="22"/>
          <w:lang w:eastAsia="it-IT"/>
          <w14:textFill>
            <w14:solidFill>
              <w14:schemeClr w14:val="tx1"/>
            </w14:solidFill>
          </w14:textFill>
        </w:rPr>
        <w:t>, con la precisazione che in assenza di uno dei dati sotto indicati potrà essere inserito il valore 0 (zero):</w:t>
      </w:r>
    </w:p>
    <w:p>
      <w:pPr>
        <w:jc w:val="both"/>
        <w:rPr>
          <w:rFonts w:ascii="Verdana" w:hAnsi="Verdana" w:eastAsia="Times New Roman" w:cs="Verdana"/>
          <w:b/>
          <w:color w:val="000000" w:themeColor="text1"/>
          <w:sz w:val="22"/>
          <w:szCs w:val="22"/>
          <w:lang w:eastAsia="it-IT"/>
          <w14:textFill>
            <w14:solidFill>
              <w14:schemeClr w14:val="tx1"/>
            </w14:solidFill>
          </w14:textFill>
        </w:rPr>
      </w:pPr>
      <w:r>
        <w:rPr>
          <w:rFonts w:ascii="Verdana" w:hAnsi="Verdana" w:eastAsia="Times New Roman" w:cs="Verdana"/>
          <w:b/>
          <w:color w:val="000000" w:themeColor="text1"/>
          <w:sz w:val="22"/>
          <w:szCs w:val="22"/>
          <w:lang w:eastAsia="it-IT"/>
          <w14:textFill>
            <w14:solidFill>
              <w14:schemeClr w14:val="tx1"/>
            </w14:solidFill>
          </w14:textFill>
        </w:rPr>
        <w:t xml:space="preserve"> </w:t>
      </w:r>
      <w:r>
        <w:rPr>
          <w:rFonts w:ascii="Verdana" w:hAnsi="Verdana" w:eastAsia="Times New Roman" w:cs="Verdana"/>
          <w:bCs/>
          <w:color w:val="000000" w:themeColor="text1"/>
          <w:sz w:val="22"/>
          <w:szCs w:val="22"/>
          <w:lang w:eastAsia="it-IT"/>
          <w14:textFill>
            <w14:solidFill>
              <w14:schemeClr w14:val="tx1"/>
            </w14:solidFill>
          </w14:textFill>
        </w:rPr>
        <w:t>IP = (IL</w:t>
      </w:r>
      <w:r>
        <w:rPr>
          <w:rFonts w:ascii="Verdana" w:hAnsi="Verdana" w:cs="Verdana"/>
          <w:bCs/>
          <w:sz w:val="22"/>
          <w:szCs w:val="22"/>
        </w:rPr>
        <w:t xml:space="preserve"> </w:t>
      </w:r>
      <w:r>
        <w:rPr>
          <w:rFonts w:ascii="Verdana" w:hAnsi="Verdana" w:eastAsia="Times New Roman" w:cs="Verdana"/>
          <w:bCs/>
          <w:color w:val="000000" w:themeColor="text1"/>
          <w:sz w:val="22"/>
          <w:szCs w:val="22"/>
          <w:lang w:eastAsia="it-IT"/>
          <w14:textFill>
            <w14:solidFill>
              <w14:schemeClr w14:val="tx1"/>
            </w14:solidFill>
          </w14:textFill>
        </w:rPr>
        <w:t>± IL</w:t>
      </w:r>
      <w:r>
        <w:rPr>
          <w:rFonts w:ascii="Verdana" w:hAnsi="Verdana" w:eastAsia="Times New Roman" w:cs="Verdana"/>
          <w:bCs/>
          <w:i/>
          <w:color w:val="000000" w:themeColor="text1"/>
          <w:sz w:val="22"/>
          <w:szCs w:val="22"/>
          <w:lang w:eastAsia="it-IT"/>
          <w14:textFill>
            <w14:solidFill>
              <w14:schemeClr w14:val="tx1"/>
            </w14:solidFill>
          </w14:textFill>
        </w:rPr>
        <w:t>n</w:t>
      </w:r>
      <w:r>
        <w:rPr>
          <w:rFonts w:ascii="Verdana" w:hAnsi="Verdana" w:eastAsia="Times New Roman" w:cs="Verdana"/>
          <w:bCs/>
          <w:color w:val="000000" w:themeColor="text1"/>
          <w:sz w:val="22"/>
          <w:szCs w:val="22"/>
          <w:lang w:eastAsia="it-IT"/>
          <w14:textFill>
            <w14:solidFill>
              <w14:schemeClr w14:val="tx1"/>
            </w14:solidFill>
          </w14:textFill>
        </w:rPr>
        <w:t>) ∧ (IR±IR</w:t>
      </w:r>
      <w:r>
        <w:rPr>
          <w:rFonts w:ascii="Verdana" w:hAnsi="Verdana" w:eastAsia="Times New Roman" w:cs="Verdana"/>
          <w:bCs/>
          <w:i/>
          <w:color w:val="000000" w:themeColor="text1"/>
          <w:sz w:val="22"/>
          <w:szCs w:val="22"/>
          <w:lang w:eastAsia="it-IT"/>
          <w14:textFill>
            <w14:solidFill>
              <w14:schemeClr w14:val="tx1"/>
            </w14:solidFill>
          </w14:textFill>
        </w:rPr>
        <w:t>n</w:t>
      </w:r>
      <w:r>
        <w:rPr>
          <w:rFonts w:ascii="Verdana" w:hAnsi="Verdana" w:eastAsia="Times New Roman" w:cs="Verdana"/>
          <w:bCs/>
          <w:color w:val="000000" w:themeColor="text1"/>
          <w:sz w:val="22"/>
          <w:szCs w:val="22"/>
          <w:lang w:eastAsia="it-IT"/>
          <w14:textFill>
            <w14:solidFill>
              <w14:schemeClr w14:val="tx1"/>
            </w14:solidFill>
          </w14:textFill>
        </w:rPr>
        <w:t>) ∘ [IL = 0 =&gt;(AL±AL</w:t>
      </w:r>
      <w:r>
        <w:rPr>
          <w:rFonts w:ascii="Verdana" w:hAnsi="Verdana" w:eastAsia="Times New Roman" w:cs="Verdana"/>
          <w:bCs/>
          <w:i/>
          <w:color w:val="000000" w:themeColor="text1"/>
          <w:sz w:val="22"/>
          <w:szCs w:val="22"/>
          <w:lang w:eastAsia="it-IT"/>
          <w14:textFill>
            <w14:solidFill>
              <w14:schemeClr w14:val="tx1"/>
            </w14:solidFill>
          </w14:textFill>
        </w:rPr>
        <w:t>n</w:t>
      </w:r>
      <w:r>
        <w:rPr>
          <w:rFonts w:ascii="Verdana" w:hAnsi="Verdana" w:eastAsia="Times New Roman" w:cs="Verdana"/>
          <w:bCs/>
          <w:color w:val="000000" w:themeColor="text1"/>
          <w:sz w:val="22"/>
          <w:szCs w:val="22"/>
          <w:lang w:eastAsia="it-IT"/>
          <w14:textFill>
            <w14:solidFill>
              <w14:schemeClr w14:val="tx1"/>
            </w14:solidFill>
          </w14:textFill>
        </w:rPr>
        <w:t>)] ∘ [AL ≈ 0 =&gt; (AI ± AI</w:t>
      </w:r>
      <w:r>
        <w:rPr>
          <w:rFonts w:ascii="Verdana" w:hAnsi="Verdana" w:eastAsia="Times New Roman" w:cs="Verdana"/>
          <w:bCs/>
          <w:i/>
          <w:color w:val="000000" w:themeColor="text1"/>
          <w:sz w:val="22"/>
          <w:szCs w:val="22"/>
          <w:lang w:eastAsia="it-IT"/>
          <w14:textFill>
            <w14:solidFill>
              <w14:schemeClr w14:val="tx1"/>
            </w14:solidFill>
          </w14:textFill>
        </w:rPr>
        <w:t>n</w:t>
      </w:r>
      <w:r>
        <w:rPr>
          <w:rFonts w:ascii="Verdana" w:hAnsi="Verdana" w:eastAsia="Times New Roman" w:cs="Verdana"/>
          <w:bCs/>
          <w:color w:val="000000" w:themeColor="text1"/>
          <w:sz w:val="22"/>
          <w:szCs w:val="22"/>
          <w:lang w:eastAsia="it-IT"/>
          <w14:textFill>
            <w14:solidFill>
              <w14:schemeClr w14:val="tx1"/>
            </w14:solidFill>
          </w14:textFill>
        </w:rPr>
        <w:t>)].</w:t>
      </w:r>
    </w:p>
    <w:p>
      <w:pPr>
        <w:jc w:val="both"/>
        <w:rPr>
          <w:rFonts w:ascii="Verdana" w:hAnsi="Verdana" w:eastAsia="Times New Roman" w:cs="Verdana"/>
          <w:color w:val="000000" w:themeColor="text1"/>
          <w:sz w:val="22"/>
          <w:szCs w:val="22"/>
          <w:lang w:eastAsia="it-IT"/>
          <w14:textFill>
            <w14:solidFill>
              <w14:schemeClr w14:val="tx1"/>
            </w14:solidFill>
          </w14:textFill>
        </w:rPr>
      </w:pPr>
    </w:p>
    <w:p>
      <w:p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Si ritiene utile indicare il significato dei simboli utilizzati:</w:t>
      </w:r>
    </w:p>
    <w:p>
      <w:pPr>
        <w:pStyle w:val="49"/>
        <w:numPr>
          <w:ilvl w:val="0"/>
          <w:numId w:val="17"/>
        </w:num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IP corrisponde all’interpretazione di una data disposizione di legge;</w:t>
      </w:r>
    </w:p>
    <w:p>
      <w:pPr>
        <w:pStyle w:val="49"/>
        <w:numPr>
          <w:ilvl w:val="0"/>
          <w:numId w:val="17"/>
        </w:num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IL corrisponde all’interpretazione letterale ex art. 12 preleggi;</w:t>
      </w:r>
    </w:p>
    <w:p>
      <w:pPr>
        <w:pStyle w:val="49"/>
        <w:numPr>
          <w:ilvl w:val="0"/>
          <w:numId w:val="17"/>
        </w:num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 xml:space="preserve">IR corrisponde all’interpretazione per </w:t>
      </w:r>
      <w:r>
        <w:rPr>
          <w:rFonts w:ascii="Verdana" w:hAnsi="Verdana" w:eastAsia="Times New Roman" w:cs="Verdana"/>
          <w:i/>
          <w:color w:val="000000" w:themeColor="text1"/>
          <w:sz w:val="22"/>
          <w:szCs w:val="22"/>
          <w:lang w:eastAsia="it-IT"/>
          <w14:textFill>
            <w14:solidFill>
              <w14:schemeClr w14:val="tx1"/>
            </w14:solidFill>
          </w14:textFill>
        </w:rPr>
        <w:t xml:space="preserve">ratio </w:t>
      </w:r>
      <w:r>
        <w:rPr>
          <w:rFonts w:ascii="Verdana" w:hAnsi="Verdana" w:eastAsia="Times New Roman" w:cs="Verdana"/>
          <w:color w:val="000000" w:themeColor="text1"/>
          <w:sz w:val="22"/>
          <w:szCs w:val="22"/>
          <w:lang w:eastAsia="it-IT"/>
          <w14:textFill>
            <w14:solidFill>
              <w14:schemeClr w14:val="tx1"/>
            </w14:solidFill>
          </w14:textFill>
        </w:rPr>
        <w:t>o teleologica ex art. 12 preleggi;</w:t>
      </w:r>
    </w:p>
    <w:p>
      <w:pPr>
        <w:pStyle w:val="49"/>
        <w:numPr>
          <w:ilvl w:val="0"/>
          <w:numId w:val="17"/>
        </w:num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 xml:space="preserve">AL corrisponde all’interpretazione per analogia </w:t>
      </w:r>
      <w:r>
        <w:rPr>
          <w:rFonts w:ascii="Verdana" w:hAnsi="Verdana" w:eastAsia="Times New Roman" w:cs="Verdana"/>
          <w:i/>
          <w:color w:val="000000" w:themeColor="text1"/>
          <w:sz w:val="22"/>
          <w:szCs w:val="22"/>
          <w:lang w:eastAsia="it-IT"/>
          <w14:textFill>
            <w14:solidFill>
              <w14:schemeClr w14:val="tx1"/>
            </w14:solidFill>
          </w14:textFill>
        </w:rPr>
        <w:t>legis</w:t>
      </w:r>
      <w:r>
        <w:rPr>
          <w:rFonts w:ascii="Verdana" w:hAnsi="Verdana" w:cs="Verdana"/>
          <w:i/>
          <w:sz w:val="22"/>
          <w:szCs w:val="22"/>
        </w:rPr>
        <w:t xml:space="preserve"> </w:t>
      </w:r>
      <w:r>
        <w:rPr>
          <w:rFonts w:ascii="Verdana" w:hAnsi="Verdana" w:eastAsia="Times New Roman" w:cs="Verdana"/>
          <w:color w:val="000000" w:themeColor="text1"/>
          <w:sz w:val="22"/>
          <w:szCs w:val="22"/>
          <w:lang w:eastAsia="it-IT"/>
          <w14:textFill>
            <w14:solidFill>
              <w14:schemeClr w14:val="tx1"/>
            </w14:solidFill>
          </w14:textFill>
        </w:rPr>
        <w:t>ex art. 12 preleggi;</w:t>
      </w:r>
    </w:p>
    <w:p>
      <w:pPr>
        <w:pStyle w:val="49"/>
        <w:numPr>
          <w:ilvl w:val="0"/>
          <w:numId w:val="17"/>
        </w:num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 xml:space="preserve">AI corrisponde all’interpretazione per analogia </w:t>
      </w:r>
      <w:r>
        <w:rPr>
          <w:rFonts w:ascii="Verdana" w:hAnsi="Verdana" w:eastAsia="Times New Roman" w:cs="Verdana"/>
          <w:i/>
          <w:color w:val="000000" w:themeColor="text1"/>
          <w:sz w:val="22"/>
          <w:szCs w:val="22"/>
          <w:lang w:eastAsia="it-IT"/>
          <w14:textFill>
            <w14:solidFill>
              <w14:schemeClr w14:val="tx1"/>
            </w14:solidFill>
          </w14:textFill>
        </w:rPr>
        <w:t>iuris</w:t>
      </w:r>
      <w:r>
        <w:rPr>
          <w:rFonts w:ascii="Verdana" w:hAnsi="Verdana" w:eastAsia="Times New Roman" w:cs="Verdana"/>
          <w:color w:val="000000" w:themeColor="text1"/>
          <w:sz w:val="22"/>
          <w:szCs w:val="22"/>
          <w:lang w:eastAsia="it-IT"/>
          <w14:textFill>
            <w14:solidFill>
              <w14:schemeClr w14:val="tx1"/>
            </w14:solidFill>
          </w14:textFill>
        </w:rPr>
        <w:t xml:space="preserve"> (“</w:t>
      </w:r>
      <w:r>
        <w:rPr>
          <w:rFonts w:ascii="Verdana" w:hAnsi="Verdana" w:eastAsia="Times New Roman" w:cs="Verdana"/>
          <w:i/>
          <w:color w:val="000000" w:themeColor="text1"/>
          <w:sz w:val="22"/>
          <w:szCs w:val="22"/>
          <w:lang w:eastAsia="it-IT"/>
          <w14:textFill>
            <w14:solidFill>
              <w14:schemeClr w14:val="tx1"/>
            </w14:solidFill>
          </w14:textFill>
        </w:rPr>
        <w:t>principi generali dell’ordinamento giuridico</w:t>
      </w:r>
      <w:r>
        <w:rPr>
          <w:rFonts w:ascii="Verdana" w:hAnsi="Verdana" w:eastAsia="Times New Roman" w:cs="Verdana"/>
          <w:color w:val="000000" w:themeColor="text1"/>
          <w:sz w:val="22"/>
          <w:szCs w:val="22"/>
          <w:lang w:eastAsia="it-IT"/>
          <w14:textFill>
            <w14:solidFill>
              <w14:schemeClr w14:val="tx1"/>
            </w14:solidFill>
          </w14:textFill>
        </w:rPr>
        <w:t>”) ex art. 12 preleggi;</w:t>
      </w:r>
    </w:p>
    <w:p>
      <w:pPr>
        <w:pStyle w:val="49"/>
        <w:numPr>
          <w:ilvl w:val="0"/>
          <w:numId w:val="17"/>
        </w:num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 corrisponde a più (somma) oppure meno (sottrazione), in dipendenza dell’ interpretazione utilizzata, se volta ad affermare (+) oppure a negare (-);</w:t>
      </w:r>
    </w:p>
    <w:p>
      <w:pPr>
        <w:pStyle w:val="49"/>
        <w:numPr>
          <w:ilvl w:val="0"/>
          <w:numId w:val="17"/>
        </w:num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cs="Verdana"/>
          <w:sz w:val="22"/>
          <w:szCs w:val="22"/>
        </w:rPr>
        <w:t xml:space="preserve">∧ vuol dire </w:t>
      </w:r>
      <w:r>
        <w:rPr>
          <w:rFonts w:ascii="Verdana" w:hAnsi="Verdana" w:cs="Verdana"/>
          <w:i/>
          <w:sz w:val="22"/>
          <w:szCs w:val="22"/>
        </w:rPr>
        <w:t>and</w:t>
      </w:r>
      <w:r>
        <w:rPr>
          <w:rFonts w:ascii="Verdana" w:hAnsi="Verdana" w:cs="Verdana"/>
          <w:sz w:val="22"/>
          <w:szCs w:val="22"/>
        </w:rPr>
        <w:t>, inteso come “</w:t>
      </w:r>
      <w:r>
        <w:rPr>
          <w:rFonts w:ascii="Verdana" w:hAnsi="Verdana" w:cs="Verdana"/>
          <w:i/>
          <w:sz w:val="22"/>
          <w:szCs w:val="22"/>
        </w:rPr>
        <w:t>e”</w:t>
      </w:r>
      <w:r>
        <w:rPr>
          <w:rFonts w:ascii="Verdana" w:hAnsi="Verdana" w:cs="Verdana"/>
          <w:sz w:val="22"/>
          <w:szCs w:val="22"/>
        </w:rPr>
        <w:t>, pensato qui come un’unione (o sintesi);</w:t>
      </w:r>
    </w:p>
    <w:p>
      <w:pPr>
        <w:pStyle w:val="49"/>
        <w:numPr>
          <w:ilvl w:val="0"/>
          <w:numId w:val="17"/>
        </w:num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 corrisponde alla composizione, cioè una sorta di sintesi  tra dati non omogenei, ovvero più semplicemente la composizione è una forma di “miscelamento” (non corrispondente alla somma aritmetica) tra più dati;</w:t>
      </w:r>
    </w:p>
    <w:p>
      <w:pPr>
        <w:pStyle w:val="49"/>
        <w:numPr>
          <w:ilvl w:val="0"/>
          <w:numId w:val="17"/>
        </w:num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 xml:space="preserve">=&gt; corrisponde al significato di </w:t>
      </w:r>
      <w:r>
        <w:rPr>
          <w:rFonts w:ascii="Verdana" w:hAnsi="Verdana" w:eastAsia="Times New Roman" w:cs="Verdana"/>
          <w:i/>
          <w:color w:val="000000" w:themeColor="text1"/>
          <w:sz w:val="22"/>
          <w:szCs w:val="22"/>
          <w:lang w:eastAsia="it-IT"/>
          <w14:textFill>
            <w14:solidFill>
              <w14:schemeClr w14:val="tx1"/>
            </w14:solidFill>
          </w14:textFill>
        </w:rPr>
        <w:t xml:space="preserve">se…allora </w:t>
      </w:r>
      <w:r>
        <w:rPr>
          <w:rFonts w:ascii="Verdana" w:hAnsi="Verdana" w:eastAsia="Times New Roman" w:cs="Verdana"/>
          <w:color w:val="000000" w:themeColor="text1"/>
          <w:sz w:val="22"/>
          <w:szCs w:val="22"/>
          <w:lang w:eastAsia="it-IT"/>
          <w14:textFill>
            <w14:solidFill>
              <w14:schemeClr w14:val="tx1"/>
            </w14:solidFill>
          </w14:textFill>
        </w:rPr>
        <w:t>(IL=0=&gt; vuole dire se IL è uguale a 0, allora…);</w:t>
      </w:r>
    </w:p>
    <w:p>
      <w:pPr>
        <w:pStyle w:val="49"/>
        <w:numPr>
          <w:ilvl w:val="0"/>
          <w:numId w:val="17"/>
        </w:num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 corrisponde al significato di circa;</w:t>
      </w:r>
    </w:p>
    <w:p>
      <w:pPr>
        <w:pStyle w:val="49"/>
        <w:numPr>
          <w:ilvl w:val="0"/>
          <w:numId w:val="17"/>
        </w:num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i/>
          <w:color w:val="000000" w:themeColor="text1"/>
          <w:sz w:val="22"/>
          <w:szCs w:val="22"/>
          <w:lang w:eastAsia="it-IT"/>
          <w14:textFill>
            <w14:solidFill>
              <w14:schemeClr w14:val="tx1"/>
            </w14:solidFill>
          </w14:textFill>
        </w:rPr>
        <w:t>n</w:t>
      </w:r>
      <w:r>
        <w:rPr>
          <w:rFonts w:ascii="Verdana" w:hAnsi="Verdana" w:eastAsia="Times New Roman" w:cs="Verdana"/>
          <w:color w:val="000000" w:themeColor="text1"/>
          <w:sz w:val="22"/>
          <w:szCs w:val="22"/>
          <w:lang w:eastAsia="it-IT"/>
          <w14:textFill>
            <w14:solidFill>
              <w14:schemeClr w14:val="tx1"/>
            </w14:solidFill>
          </w14:textFill>
        </w:rPr>
        <w:t xml:space="preserve"> è una variabile corrispondente al numero di possibili interpretazioni del medesimo tipo.</w:t>
      </w:r>
    </w:p>
    <w:p>
      <w:pPr>
        <w:jc w:val="both"/>
        <w:rPr>
          <w:rFonts w:ascii="Verdana" w:hAnsi="Verdana" w:eastAsia="Times New Roman" w:cs="Verdana"/>
          <w:color w:val="000000" w:themeColor="text1"/>
          <w:sz w:val="22"/>
          <w:szCs w:val="22"/>
          <w:lang w:eastAsia="it-IT"/>
          <w14:textFill>
            <w14:solidFill>
              <w14:schemeClr w14:val="tx1"/>
            </w14:solidFill>
          </w14:textFill>
        </w:rPr>
      </w:pPr>
    </w:p>
    <w:p>
      <w:p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In sostanza, quanto è stato appena scritto equivale a dire:</w:t>
      </w:r>
    </w:p>
    <w:p>
      <w:p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l’interpretazione della legge (IP) è uguale (=) all’unione (∧) tra somma o sottrazione di più  interpretazioni letterali (IL ± IL</w:t>
      </w:r>
      <w:r>
        <w:rPr>
          <w:rFonts w:ascii="Verdana" w:hAnsi="Verdana" w:eastAsia="Times New Roman" w:cs="Verdana"/>
          <w:i/>
          <w:color w:val="000000" w:themeColor="text1"/>
          <w:sz w:val="22"/>
          <w:szCs w:val="22"/>
          <w:lang w:eastAsia="it-IT"/>
          <w14:textFill>
            <w14:solidFill>
              <w14:schemeClr w14:val="tx1"/>
            </w14:solidFill>
          </w14:textFill>
        </w:rPr>
        <w:t>n</w:t>
      </w:r>
      <w:r>
        <w:rPr>
          <w:rFonts w:ascii="Verdana" w:hAnsi="Verdana" w:eastAsia="Times New Roman" w:cs="Verdana"/>
          <w:color w:val="000000" w:themeColor="text1"/>
          <w:sz w:val="22"/>
          <w:szCs w:val="22"/>
          <w:lang w:eastAsia="it-IT"/>
          <w14:textFill>
            <w14:solidFill>
              <w14:schemeClr w14:val="tx1"/>
            </w14:solidFill>
          </w14:textFill>
        </w:rPr>
        <w:t xml:space="preserve">) con la somma o sottrazione di più interpretazioni per </w:t>
      </w:r>
      <w:r>
        <w:rPr>
          <w:rFonts w:ascii="Verdana" w:hAnsi="Verdana" w:eastAsia="Times New Roman" w:cs="Verdana"/>
          <w:i/>
          <w:color w:val="000000" w:themeColor="text1"/>
          <w:sz w:val="22"/>
          <w:szCs w:val="22"/>
          <w:lang w:eastAsia="it-IT"/>
          <w14:textFill>
            <w14:solidFill>
              <w14:schemeClr w14:val="tx1"/>
            </w14:solidFill>
          </w14:textFill>
        </w:rPr>
        <w:t xml:space="preserve">ratio </w:t>
      </w:r>
      <w:r>
        <w:rPr>
          <w:rFonts w:ascii="Verdana" w:hAnsi="Verdana" w:eastAsia="Times New Roman" w:cs="Verdana"/>
          <w:color w:val="000000" w:themeColor="text1"/>
          <w:sz w:val="22"/>
          <w:szCs w:val="22"/>
          <w:lang w:eastAsia="it-IT"/>
          <w14:textFill>
            <w14:solidFill>
              <w14:schemeClr w14:val="tx1"/>
            </w14:solidFill>
          </w14:textFill>
        </w:rPr>
        <w:t>(IR±IR</w:t>
      </w:r>
      <w:r>
        <w:rPr>
          <w:rFonts w:ascii="Verdana" w:hAnsi="Verdana" w:eastAsia="Times New Roman" w:cs="Verdana"/>
          <w:i/>
          <w:color w:val="000000" w:themeColor="text1"/>
          <w:sz w:val="22"/>
          <w:szCs w:val="22"/>
          <w:lang w:eastAsia="it-IT"/>
          <w14:textFill>
            <w14:solidFill>
              <w14:schemeClr w14:val="tx1"/>
            </w14:solidFill>
          </w14:textFill>
        </w:rPr>
        <w:t>n</w:t>
      </w:r>
      <w:r>
        <w:rPr>
          <w:rFonts w:ascii="Verdana" w:hAnsi="Verdana" w:eastAsia="Times New Roman" w:cs="Verdana"/>
          <w:color w:val="000000" w:themeColor="text1"/>
          <w:sz w:val="22"/>
          <w:szCs w:val="22"/>
          <w:lang w:eastAsia="it-IT"/>
          <w14:textFill>
            <w14:solidFill>
              <w14:schemeClr w14:val="tx1"/>
            </w14:solidFill>
          </w14:textFill>
        </w:rPr>
        <w:t xml:space="preserve">); se manca una precisa disposizione di legge (IL=0), si procede a sommare o sottrarre interpretazioni per </w:t>
      </w:r>
      <w:r>
        <w:rPr>
          <w:rFonts w:ascii="Verdana" w:hAnsi="Verdana" w:eastAsia="Times New Roman" w:cs="Verdana"/>
          <w:i/>
          <w:color w:val="000000" w:themeColor="text1"/>
          <w:sz w:val="22"/>
          <w:szCs w:val="22"/>
          <w:lang w:eastAsia="it-IT"/>
          <w14:textFill>
            <w14:solidFill>
              <w14:schemeClr w14:val="tx1"/>
            </w14:solidFill>
          </w14:textFill>
        </w:rPr>
        <w:t>analogia legis</w:t>
      </w:r>
      <w:r>
        <w:rPr>
          <w:rFonts w:ascii="Verdana" w:hAnsi="Verdana" w:eastAsia="Times New Roman" w:cs="Verdana"/>
          <w:color w:val="000000" w:themeColor="text1"/>
          <w:sz w:val="22"/>
          <w:szCs w:val="22"/>
          <w:lang w:eastAsia="it-IT"/>
          <w14:textFill>
            <w14:solidFill>
              <w14:schemeClr w14:val="tx1"/>
            </w14:solidFill>
          </w14:textFill>
        </w:rPr>
        <w:t xml:space="preserve"> (=&gt;(AL ± AL</w:t>
      </w:r>
      <w:r>
        <w:rPr>
          <w:rFonts w:ascii="Verdana" w:hAnsi="Verdana" w:eastAsia="Times New Roman" w:cs="Verdana"/>
          <w:i/>
          <w:color w:val="000000" w:themeColor="text1"/>
          <w:sz w:val="22"/>
          <w:szCs w:val="22"/>
          <w:lang w:eastAsia="it-IT"/>
          <w14:textFill>
            <w14:solidFill>
              <w14:schemeClr w14:val="tx1"/>
            </w14:solidFill>
          </w14:textFill>
        </w:rPr>
        <w:t>n</w:t>
      </w:r>
      <w:r>
        <w:rPr>
          <w:rFonts w:ascii="Verdana" w:hAnsi="Verdana" w:eastAsia="Times New Roman" w:cs="Verdana"/>
          <w:color w:val="000000" w:themeColor="text1"/>
          <w:sz w:val="22"/>
          <w:szCs w:val="22"/>
          <w:lang w:eastAsia="it-IT"/>
          <w14:textFill>
            <w14:solidFill>
              <w14:schemeClr w14:val="tx1"/>
            </w14:solidFill>
          </w14:textFill>
        </w:rPr>
        <w:t xml:space="preserve">)); nel caso in cui il caso sia ancora dubbio (AL ≈ 0), si può procedere a sommare o sottrarre interpretazioni per </w:t>
      </w:r>
      <w:r>
        <w:rPr>
          <w:rFonts w:ascii="Verdana" w:hAnsi="Verdana" w:eastAsia="Times New Roman" w:cs="Verdana"/>
          <w:i/>
          <w:color w:val="000000" w:themeColor="text1"/>
          <w:sz w:val="22"/>
          <w:szCs w:val="22"/>
          <w:lang w:eastAsia="it-IT"/>
          <w14:textFill>
            <w14:solidFill>
              <w14:schemeClr w14:val="tx1"/>
            </w14:solidFill>
          </w14:textFill>
        </w:rPr>
        <w:t>analogia iuris</w:t>
      </w:r>
      <w:r>
        <w:rPr>
          <w:rFonts w:ascii="Verdana" w:hAnsi="Verdana" w:eastAsia="Times New Roman" w:cs="Verdana"/>
          <w:color w:val="000000" w:themeColor="text1"/>
          <w:sz w:val="22"/>
          <w:szCs w:val="22"/>
          <w:lang w:eastAsia="it-IT"/>
          <w14:textFill>
            <w14:solidFill>
              <w14:schemeClr w14:val="tx1"/>
            </w14:solidFill>
          </w14:textFill>
        </w:rPr>
        <w:t xml:space="preserve"> (=&gt; (AI ± AI</w:t>
      </w:r>
      <w:r>
        <w:rPr>
          <w:rFonts w:ascii="Verdana" w:hAnsi="Verdana" w:eastAsia="Times New Roman" w:cs="Verdana"/>
          <w:i/>
          <w:color w:val="000000" w:themeColor="text1"/>
          <w:sz w:val="22"/>
          <w:szCs w:val="22"/>
          <w:lang w:eastAsia="it-IT"/>
          <w14:textFill>
            <w14:solidFill>
              <w14:schemeClr w14:val="tx1"/>
            </w14:solidFill>
          </w14:textFill>
        </w:rPr>
        <w:t>n</w:t>
      </w:r>
      <w:r>
        <w:rPr>
          <w:rFonts w:ascii="Verdana" w:hAnsi="Verdana" w:eastAsia="Times New Roman" w:cs="Verdana"/>
          <w:color w:val="000000" w:themeColor="text1"/>
          <w:sz w:val="22"/>
          <w:szCs w:val="22"/>
          <w:lang w:eastAsia="it-IT"/>
          <w14:textFill>
            <w14:solidFill>
              <w14:schemeClr w14:val="tx1"/>
            </w14:solidFill>
          </w14:textFill>
        </w:rPr>
        <w:t>)).</w:t>
      </w:r>
    </w:p>
    <w:p>
      <w:pPr>
        <w:jc w:val="both"/>
        <w:rPr>
          <w:rFonts w:ascii="Verdana" w:hAnsi="Verdana" w:eastAsia="Times New Roman" w:cs="Verdana"/>
          <w:color w:val="000000" w:themeColor="text1"/>
          <w:sz w:val="22"/>
          <w:szCs w:val="22"/>
          <w:lang w:eastAsia="it-IT"/>
          <w14:textFill>
            <w14:solidFill>
              <w14:schemeClr w14:val="tx1"/>
            </w14:solidFill>
          </w14:textFill>
        </w:rPr>
      </w:pPr>
    </w:p>
    <w:p>
      <w:p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 xml:space="preserve">Per maggiore precisione, possiamo sostituire ± con la sommatoria (∑), la quale ammette sottrazioni tramite il meccanismo di somma tra valori negativi; per esempio: 7-3 diviene 7 + (-3) = 4; fissiamo poi che il valore </w:t>
      </w:r>
      <w:r>
        <w:rPr>
          <w:rFonts w:ascii="Verdana" w:hAnsi="Verdana" w:eastAsia="Times New Roman" w:cs="Verdana"/>
          <w:i/>
          <w:color w:val="000000" w:themeColor="text1"/>
          <w:sz w:val="22"/>
          <w:szCs w:val="22"/>
          <w:lang w:eastAsia="it-IT"/>
          <w14:textFill>
            <w14:solidFill>
              <w14:schemeClr w14:val="tx1"/>
            </w14:solidFill>
          </w14:textFill>
        </w:rPr>
        <w:t xml:space="preserve">n </w:t>
      </w:r>
      <w:r>
        <w:rPr>
          <w:rFonts w:ascii="Verdana" w:hAnsi="Verdana" w:eastAsia="Times New Roman" w:cs="Verdana"/>
          <w:color w:val="000000" w:themeColor="text1"/>
          <w:sz w:val="22"/>
          <w:szCs w:val="22"/>
          <w:lang w:eastAsia="it-IT"/>
          <w14:textFill>
            <w14:solidFill>
              <w14:schemeClr w14:val="tx1"/>
            </w14:solidFill>
          </w14:textFill>
        </w:rPr>
        <w:t>può andare da 0 ad infinito (</w:t>
      </w:r>
      <m:oMath>
        <m:nary>
          <m:naryPr>
            <m:chr m:val="∑"/>
            <m:limLoc m:val="undOvr"/>
            <m:ctrlPr>
              <w:rPr>
                <w:rFonts w:ascii="Cambria Math" w:hAnsi="Cambria Math" w:eastAsia="Times New Roman" w:cs="Verdana"/>
                <w:i/>
                <w:color w:val="000000" w:themeColor="text1"/>
                <w:sz w:val="22"/>
                <w:szCs w:val="22"/>
                <w:lang w:eastAsia="it-IT"/>
                <w14:textFill>
                  <w14:solidFill>
                    <w14:schemeClr w14:val="tx1"/>
                  </w14:solidFill>
                </w14:textFill>
              </w:rPr>
            </m:ctrlPr>
          </m:naryPr>
          <m:sub>
            <m:r>
              <m:rPr/>
              <w:rPr>
                <w:rFonts w:ascii="Cambria Math" w:hAnsi="Cambria Math" w:eastAsia="Times New Roman" w:cs="Verdana"/>
                <w:color w:val="000000" w:themeColor="text1"/>
                <w:sz w:val="22"/>
                <w:szCs w:val="22"/>
                <w:lang w:eastAsia="it-IT"/>
                <w14:textFill>
                  <w14:solidFill>
                    <w14:schemeClr w14:val="tx1"/>
                  </w14:solidFill>
                </w14:textFill>
              </w:rPr>
              <m:t>n=0</m:t>
            </m:r>
            <m:ctrlPr>
              <w:rPr>
                <w:rFonts w:ascii="Cambria Math" w:hAnsi="Cambria Math" w:eastAsia="Times New Roman" w:cs="Verdana"/>
                <w:i/>
                <w:color w:val="000000" w:themeColor="text1"/>
                <w:sz w:val="22"/>
                <w:szCs w:val="22"/>
                <w:lang w:eastAsia="it-IT"/>
                <w14:textFill>
                  <w14:solidFill>
                    <w14:schemeClr w14:val="tx1"/>
                  </w14:solidFill>
                </w14:textFill>
              </w:rPr>
            </m:ctrlPr>
          </m:sub>
          <m:sup>
            <m:r>
              <m:rPr/>
              <w:rPr>
                <w:rFonts w:ascii="Cambria Math" w:hAnsi="Cambria Math" w:eastAsia="Times New Roman" w:cs="Verdana"/>
                <w:color w:val="000000" w:themeColor="text1"/>
                <w:sz w:val="22"/>
                <w:szCs w:val="22"/>
                <w:lang w:eastAsia="it-IT"/>
                <w14:textFill>
                  <w14:solidFill>
                    <w14:schemeClr w14:val="tx1"/>
                  </w14:solidFill>
                </w14:textFill>
              </w:rPr>
              <m:t>∞</m:t>
            </m:r>
            <m:ctrlPr>
              <w:rPr>
                <w:rFonts w:ascii="Cambria Math" w:hAnsi="Cambria Math" w:eastAsia="Times New Roman" w:cs="Verdana"/>
                <w:i/>
                <w:color w:val="000000" w:themeColor="text1"/>
                <w:sz w:val="22"/>
                <w:szCs w:val="22"/>
                <w:lang w:eastAsia="it-IT"/>
                <w14:textFill>
                  <w14:solidFill>
                    <w14:schemeClr w14:val="tx1"/>
                  </w14:solidFill>
                </w14:textFill>
              </w:rPr>
            </m:ctrlPr>
          </m:sup>
          <m:e>
            <m:r>
              <m:rPr/>
              <w:rPr>
                <w:rFonts w:ascii="Cambria Math" w:hAnsi="Cambria Math" w:eastAsia="Times New Roman" w:cs="Verdana"/>
                <w:color w:val="000000" w:themeColor="text1"/>
                <w:sz w:val="22"/>
                <w:szCs w:val="22"/>
                <w:lang w:eastAsia="it-IT"/>
                <w14:textFill>
                  <w14:solidFill>
                    <w14:schemeClr w14:val="tx1"/>
                  </w14:solidFill>
                </w14:textFill>
              </w:rPr>
              <m:t xml:space="preserve"> </m:t>
            </m:r>
            <m:ctrlPr>
              <w:rPr>
                <w:rFonts w:ascii="Cambria Math" w:hAnsi="Cambria Math" w:eastAsia="Times New Roman" w:cs="Verdana"/>
                <w:i/>
                <w:color w:val="000000" w:themeColor="text1"/>
                <w:sz w:val="22"/>
                <w:szCs w:val="22"/>
                <w:lang w:eastAsia="it-IT"/>
                <w14:textFill>
                  <w14:solidFill>
                    <w14:schemeClr w14:val="tx1"/>
                  </w14:solidFill>
                </w14:textFill>
              </w:rPr>
            </m:ctrlPr>
          </m:e>
        </m:nary>
      </m:oMath>
      <w:r>
        <w:rPr>
          <w:rFonts w:ascii="Verdana" w:hAnsi="Verdana" w:eastAsia="Times New Roman" w:cs="Verdana"/>
          <w:color w:val="000000" w:themeColor="text1"/>
          <w:sz w:val="22"/>
          <w:szCs w:val="22"/>
          <w:lang w:eastAsia="it-IT"/>
          <w14:textFill>
            <w14:solidFill>
              <w14:schemeClr w14:val="tx1"/>
            </w14:solidFill>
          </w14:textFill>
        </w:rPr>
        <w:t>) per ammettere solo valori positivi.</w:t>
      </w:r>
    </w:p>
    <w:p>
      <w:pPr>
        <w:jc w:val="both"/>
        <w:rPr>
          <w:rFonts w:ascii="Verdana" w:hAnsi="Verdana" w:eastAsia="Times New Roman" w:cs="Verdana"/>
          <w:color w:val="000000" w:themeColor="text1"/>
          <w:sz w:val="22"/>
          <w:szCs w:val="22"/>
          <w:lang w:eastAsia="it-IT"/>
          <w14:textFill>
            <w14:solidFill>
              <w14:schemeClr w14:val="tx1"/>
            </w14:solidFill>
          </w14:textFill>
        </w:rPr>
      </w:pPr>
    </w:p>
    <w:p>
      <w:p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Avremo allora:</w:t>
      </w:r>
    </w:p>
    <w:p>
      <w:pPr>
        <w:jc w:val="both"/>
        <w:rPr>
          <w:rFonts w:ascii="Verdana" w:hAnsi="Verdana" w:eastAsia="Times New Roman" w:cs="Verdana"/>
          <w:color w:val="000000" w:themeColor="text1"/>
          <w:sz w:val="22"/>
          <w:szCs w:val="22"/>
          <w:lang w:eastAsia="it-IT"/>
          <w14:textFill>
            <w14:solidFill>
              <w14:schemeClr w14:val="tx1"/>
            </w14:solidFill>
          </w14:textFill>
        </w:rPr>
      </w:pPr>
    </w:p>
    <w:p>
      <w:pPr>
        <w:jc w:val="both"/>
        <w:rPr>
          <w:rFonts w:ascii="Verdana" w:hAnsi="Verdana" w:eastAsia="Times New Roman" w:cs="Verdana"/>
          <w:color w:val="000000" w:themeColor="text1"/>
          <w:sz w:val="22"/>
          <w:szCs w:val="22"/>
          <w:lang w:eastAsia="it-IT"/>
          <w14:textFill>
            <w14:solidFill>
              <w14:schemeClr w14:val="tx1"/>
            </w14:solidFill>
          </w14:textFill>
        </w:rPr>
      </w:pPr>
      <m:oMath>
        <m:r>
          <m:rPr/>
          <w:rPr>
            <w:rFonts w:ascii="Cambria Math" w:hAnsi="Cambria Math" w:eastAsia="Times New Roman" w:cs="Verdana"/>
            <w:color w:val="000000" w:themeColor="text1"/>
            <w:sz w:val="22"/>
            <w:szCs w:val="22"/>
            <w:lang w:eastAsia="it-IT"/>
            <w14:textFill>
              <w14:solidFill>
                <w14:schemeClr w14:val="tx1"/>
              </w14:solidFill>
            </w14:textFill>
          </w:rPr>
          <m:t>IP=</m:t>
        </m:r>
        <m:d>
          <m:dPr>
            <m:ctrlPr>
              <w:rPr>
                <w:rFonts w:ascii="Cambria Math" w:hAnsi="Cambria Math" w:eastAsia="Times New Roman" w:cs="Verdana"/>
                <w:i/>
                <w:color w:val="000000" w:themeColor="text1"/>
                <w:sz w:val="22"/>
                <w:szCs w:val="22"/>
                <w:lang w:eastAsia="it-IT"/>
                <w14:textFill>
                  <w14:solidFill>
                    <w14:schemeClr w14:val="tx1"/>
                  </w14:solidFill>
                </w14:textFill>
              </w:rPr>
            </m:ctrlPr>
          </m:dPr>
          <m:e>
            <m:nary>
              <m:naryPr>
                <m:chr m:val="∑"/>
                <m:limLoc m:val="undOvr"/>
                <m:ctrlPr>
                  <w:rPr>
                    <w:rFonts w:ascii="Cambria Math" w:hAnsi="Cambria Math" w:eastAsia="Times New Roman" w:cs="Verdana"/>
                    <w:i/>
                    <w:color w:val="000000" w:themeColor="text1"/>
                    <w:sz w:val="22"/>
                    <w:szCs w:val="22"/>
                    <w:lang w:eastAsia="it-IT"/>
                    <w14:textFill>
                      <w14:solidFill>
                        <w14:schemeClr w14:val="tx1"/>
                      </w14:solidFill>
                    </w14:textFill>
                  </w:rPr>
                </m:ctrlPr>
              </m:naryPr>
              <m:sub>
                <m:r>
                  <m:rPr/>
                  <w:rPr>
                    <w:rFonts w:ascii="Cambria Math" w:hAnsi="Cambria Math" w:eastAsia="Times New Roman" w:cs="Verdana"/>
                    <w:color w:val="000000" w:themeColor="text1"/>
                    <w:sz w:val="22"/>
                    <w:szCs w:val="22"/>
                    <w:lang w:eastAsia="it-IT"/>
                    <w14:textFill>
                      <w14:solidFill>
                        <w14:schemeClr w14:val="tx1"/>
                      </w14:solidFill>
                    </w14:textFill>
                  </w:rPr>
                  <m:t>n=0</m:t>
                </m:r>
                <m:ctrlPr>
                  <w:rPr>
                    <w:rFonts w:ascii="Cambria Math" w:hAnsi="Cambria Math" w:eastAsia="Times New Roman" w:cs="Verdana"/>
                    <w:i/>
                    <w:color w:val="000000" w:themeColor="text1"/>
                    <w:sz w:val="22"/>
                    <w:szCs w:val="22"/>
                    <w:lang w:eastAsia="it-IT"/>
                    <w14:textFill>
                      <w14:solidFill>
                        <w14:schemeClr w14:val="tx1"/>
                      </w14:solidFill>
                    </w14:textFill>
                  </w:rPr>
                </m:ctrlPr>
              </m:sub>
              <m:sup>
                <m:r>
                  <m:rPr/>
                  <w:rPr>
                    <w:rFonts w:ascii="Cambria Math" w:hAnsi="Cambria Math" w:eastAsia="Times New Roman" w:cs="Verdana"/>
                    <w:color w:val="000000" w:themeColor="text1"/>
                    <w:sz w:val="22"/>
                    <w:szCs w:val="22"/>
                    <w:lang w:eastAsia="it-IT"/>
                    <w14:textFill>
                      <w14:solidFill>
                        <w14:schemeClr w14:val="tx1"/>
                      </w14:solidFill>
                    </w14:textFill>
                  </w:rPr>
                  <m:t>∞</m:t>
                </m:r>
                <m:ctrlPr>
                  <w:rPr>
                    <w:rFonts w:ascii="Cambria Math" w:hAnsi="Cambria Math" w:eastAsia="Times New Roman" w:cs="Verdana"/>
                    <w:i/>
                    <w:color w:val="000000" w:themeColor="text1"/>
                    <w:sz w:val="22"/>
                    <w:szCs w:val="22"/>
                    <w:lang w:eastAsia="it-IT"/>
                    <w14:textFill>
                      <w14:solidFill>
                        <w14:schemeClr w14:val="tx1"/>
                      </w14:solidFill>
                    </w14:textFill>
                  </w:rPr>
                </m:ctrlPr>
              </m:sup>
              <m:e>
                <m:r>
                  <m:rPr/>
                  <w:rPr>
                    <w:rFonts w:ascii="Cambria Math" w:hAnsi="Cambria Math" w:eastAsia="Times New Roman" w:cs="Verdana"/>
                    <w:color w:val="000000" w:themeColor="text1"/>
                    <w:sz w:val="22"/>
                    <w:szCs w:val="22"/>
                    <w:lang w:eastAsia="it-IT"/>
                    <w14:textFill>
                      <w14:solidFill>
                        <w14:schemeClr w14:val="tx1"/>
                      </w14:solidFill>
                    </w14:textFill>
                  </w:rPr>
                  <m:t>IL</m:t>
                </m:r>
                <m:ctrlPr>
                  <w:rPr>
                    <w:rFonts w:ascii="Cambria Math" w:hAnsi="Cambria Math" w:eastAsia="Times New Roman" w:cs="Verdana"/>
                    <w:i/>
                    <w:color w:val="000000" w:themeColor="text1"/>
                    <w:sz w:val="22"/>
                    <w:szCs w:val="22"/>
                    <w:lang w:eastAsia="it-IT"/>
                    <w14:textFill>
                      <w14:solidFill>
                        <w14:schemeClr w14:val="tx1"/>
                      </w14:solidFill>
                    </w14:textFill>
                  </w:rPr>
                </m:ctrlPr>
              </m:e>
            </m:nary>
            <m:d>
              <m:dPr>
                <m:ctrlPr>
                  <w:rPr>
                    <w:rFonts w:ascii="Cambria Math" w:hAnsi="Cambria Math" w:eastAsia="Times New Roman" w:cs="Verdana"/>
                    <w:i/>
                    <w:color w:val="000000" w:themeColor="text1"/>
                    <w:sz w:val="22"/>
                    <w:szCs w:val="22"/>
                    <w:lang w:eastAsia="it-IT"/>
                    <w14:textFill>
                      <w14:solidFill>
                        <w14:schemeClr w14:val="tx1"/>
                      </w14:solidFill>
                    </w14:textFill>
                  </w:rPr>
                </m:ctrlPr>
              </m:dPr>
              <m:e>
                <m:r>
                  <m:rPr/>
                  <w:rPr>
                    <w:rFonts w:ascii="Cambria Math" w:hAnsi="Cambria Math" w:eastAsia="Times New Roman" w:cs="Verdana"/>
                    <w:color w:val="000000" w:themeColor="text1"/>
                    <w:sz w:val="22"/>
                    <w:szCs w:val="22"/>
                    <w:lang w:eastAsia="it-IT"/>
                    <w14:textFill>
                      <w14:solidFill>
                        <w14:schemeClr w14:val="tx1"/>
                      </w14:solidFill>
                    </w14:textFill>
                  </w:rPr>
                  <m:t>n</m:t>
                </m:r>
                <m:ctrlPr>
                  <w:rPr>
                    <w:rFonts w:ascii="Cambria Math" w:hAnsi="Cambria Math" w:eastAsia="Times New Roman" w:cs="Verdana"/>
                    <w:i/>
                    <w:color w:val="000000" w:themeColor="text1"/>
                    <w:sz w:val="22"/>
                    <w:szCs w:val="22"/>
                    <w:lang w:eastAsia="it-IT"/>
                    <w14:textFill>
                      <w14:solidFill>
                        <w14:schemeClr w14:val="tx1"/>
                      </w14:solidFill>
                    </w14:textFill>
                  </w:rPr>
                </m:ctrlPr>
              </m:e>
            </m:d>
            <m:r>
              <m:rPr/>
              <w:rPr>
                <w:rFonts w:ascii="Cambria Math" w:hAnsi="Cambria Math" w:eastAsia="Times New Roman" w:cs="Verdana"/>
                <w:color w:val="000000" w:themeColor="text1"/>
                <w:sz w:val="22"/>
                <w:szCs w:val="22"/>
                <w:lang w:eastAsia="it-IT"/>
                <w14:textFill>
                  <w14:solidFill>
                    <w14:schemeClr w14:val="tx1"/>
                  </w14:solidFill>
                </w14:textFill>
              </w:rPr>
              <m:t xml:space="preserve"> </m:t>
            </m:r>
            <m:r>
              <m:rPr>
                <m:sty m:val="p"/>
              </m:rPr>
              <w:rPr>
                <w:rFonts w:ascii="Cambria Math" w:hAnsi="Cambria Math" w:eastAsia="Times New Roman" w:cs="Verdana"/>
                <w:color w:val="000000" w:themeColor="text1"/>
                <w:sz w:val="22"/>
                <w:szCs w:val="22"/>
                <w:lang w:eastAsia="it-IT"/>
                <w14:textFill>
                  <w14:solidFill>
                    <w14:schemeClr w14:val="tx1"/>
                  </w14:solidFill>
                </w14:textFill>
              </w:rPr>
              <m:t>∧</m:t>
            </m:r>
            <m:r>
              <m:rPr/>
              <w:rPr>
                <w:rFonts w:ascii="Cambria Math" w:hAnsi="Cambria Math" w:eastAsia="Times New Roman" w:cs="Verdana"/>
                <w:color w:val="000000" w:themeColor="text1"/>
                <w:sz w:val="22"/>
                <w:szCs w:val="22"/>
                <w:lang w:eastAsia="it-IT"/>
                <w14:textFill>
                  <w14:solidFill>
                    <w14:schemeClr w14:val="tx1"/>
                  </w14:solidFill>
                </w14:textFill>
              </w:rPr>
              <m:t xml:space="preserve"> </m:t>
            </m:r>
            <m:nary>
              <m:naryPr>
                <m:chr m:val="∑"/>
                <m:limLoc m:val="undOvr"/>
                <m:ctrlPr>
                  <w:rPr>
                    <w:rFonts w:ascii="Cambria Math" w:hAnsi="Cambria Math" w:eastAsia="Times New Roman" w:cs="Verdana"/>
                    <w:i/>
                    <w:color w:val="000000" w:themeColor="text1"/>
                    <w:sz w:val="22"/>
                    <w:szCs w:val="22"/>
                    <w:lang w:eastAsia="it-IT"/>
                    <w14:textFill>
                      <w14:solidFill>
                        <w14:schemeClr w14:val="tx1"/>
                      </w14:solidFill>
                    </w14:textFill>
                  </w:rPr>
                </m:ctrlPr>
              </m:naryPr>
              <m:sub>
                <m:r>
                  <m:rPr/>
                  <w:rPr>
                    <w:rFonts w:ascii="Cambria Math" w:hAnsi="Cambria Math" w:eastAsia="Times New Roman" w:cs="Verdana"/>
                    <w:color w:val="000000" w:themeColor="text1"/>
                    <w:sz w:val="22"/>
                    <w:szCs w:val="22"/>
                    <w:lang w:eastAsia="it-IT"/>
                    <w14:textFill>
                      <w14:solidFill>
                        <w14:schemeClr w14:val="tx1"/>
                      </w14:solidFill>
                    </w14:textFill>
                  </w:rPr>
                  <m:t>n=0</m:t>
                </m:r>
                <m:ctrlPr>
                  <w:rPr>
                    <w:rFonts w:ascii="Cambria Math" w:hAnsi="Cambria Math" w:eastAsia="Times New Roman" w:cs="Verdana"/>
                    <w:i/>
                    <w:color w:val="000000" w:themeColor="text1"/>
                    <w:sz w:val="22"/>
                    <w:szCs w:val="22"/>
                    <w:lang w:eastAsia="it-IT"/>
                    <w14:textFill>
                      <w14:solidFill>
                        <w14:schemeClr w14:val="tx1"/>
                      </w14:solidFill>
                    </w14:textFill>
                  </w:rPr>
                </m:ctrlPr>
              </m:sub>
              <m:sup>
                <m:r>
                  <m:rPr/>
                  <w:rPr>
                    <w:rFonts w:ascii="Cambria Math" w:hAnsi="Cambria Math" w:eastAsia="Times New Roman" w:cs="Verdana"/>
                    <w:color w:val="000000" w:themeColor="text1"/>
                    <w:sz w:val="22"/>
                    <w:szCs w:val="22"/>
                    <w:lang w:eastAsia="it-IT"/>
                    <w14:textFill>
                      <w14:solidFill>
                        <w14:schemeClr w14:val="tx1"/>
                      </w14:solidFill>
                    </w14:textFill>
                  </w:rPr>
                  <m:t>∞</m:t>
                </m:r>
                <m:ctrlPr>
                  <w:rPr>
                    <w:rFonts w:ascii="Cambria Math" w:hAnsi="Cambria Math" w:eastAsia="Times New Roman" w:cs="Verdana"/>
                    <w:i/>
                    <w:color w:val="000000" w:themeColor="text1"/>
                    <w:sz w:val="22"/>
                    <w:szCs w:val="22"/>
                    <w:lang w:eastAsia="it-IT"/>
                    <w14:textFill>
                      <w14:solidFill>
                        <w14:schemeClr w14:val="tx1"/>
                      </w14:solidFill>
                    </w14:textFill>
                  </w:rPr>
                </m:ctrlPr>
              </m:sup>
              <m:e>
                <m:d>
                  <m:dPr>
                    <m:ctrlPr>
                      <w:rPr>
                        <w:rFonts w:ascii="Cambria Math" w:hAnsi="Cambria Math" w:eastAsia="Times New Roman" w:cs="Verdana"/>
                        <w:i/>
                        <w:color w:val="000000" w:themeColor="text1"/>
                        <w:sz w:val="22"/>
                        <w:szCs w:val="22"/>
                        <w:lang w:eastAsia="it-IT"/>
                        <w14:textFill>
                          <w14:solidFill>
                            <w14:schemeClr w14:val="tx1"/>
                          </w14:solidFill>
                        </w14:textFill>
                      </w:rPr>
                    </m:ctrlPr>
                  </m:dPr>
                  <m:e>
                    <m:r>
                      <m:rPr/>
                      <w:rPr>
                        <w:rFonts w:ascii="Cambria Math" w:hAnsi="Cambria Math" w:eastAsia="Times New Roman" w:cs="Verdana"/>
                        <w:color w:val="000000" w:themeColor="text1"/>
                        <w:sz w:val="22"/>
                        <w:szCs w:val="22"/>
                        <w:lang w:eastAsia="it-IT"/>
                        <w14:textFill>
                          <w14:solidFill>
                            <w14:schemeClr w14:val="tx1"/>
                          </w14:solidFill>
                        </w14:textFill>
                      </w:rPr>
                      <m:t>n</m:t>
                    </m:r>
                    <m:ctrlPr>
                      <w:rPr>
                        <w:rFonts w:ascii="Cambria Math" w:hAnsi="Cambria Math" w:eastAsia="Times New Roman" w:cs="Verdana"/>
                        <w:i/>
                        <w:color w:val="000000" w:themeColor="text1"/>
                        <w:sz w:val="22"/>
                        <w:szCs w:val="22"/>
                        <w:lang w:eastAsia="it-IT"/>
                        <w14:textFill>
                          <w14:solidFill>
                            <w14:schemeClr w14:val="tx1"/>
                          </w14:solidFill>
                        </w14:textFill>
                      </w:rPr>
                    </m:ctrlPr>
                  </m:e>
                </m:d>
                <m:r>
                  <m:rPr/>
                  <w:rPr>
                    <w:rFonts w:ascii="Cambria Math" w:hAnsi="Cambria Math" w:eastAsia="Times New Roman" w:cs="Verdana"/>
                    <w:color w:val="000000" w:themeColor="text1"/>
                    <w:sz w:val="22"/>
                    <w:szCs w:val="22"/>
                    <w:lang w:eastAsia="it-IT"/>
                    <w14:textFill>
                      <w14:solidFill>
                        <w14:schemeClr w14:val="tx1"/>
                      </w14:solidFill>
                    </w14:textFill>
                  </w:rPr>
                  <m:t xml:space="preserve"> IR </m:t>
                </m:r>
                <m:ctrlPr>
                  <w:rPr>
                    <w:rFonts w:ascii="Cambria Math" w:hAnsi="Cambria Math" w:eastAsia="Times New Roman" w:cs="Verdana"/>
                    <w:i/>
                    <w:color w:val="000000" w:themeColor="text1"/>
                    <w:sz w:val="22"/>
                    <w:szCs w:val="22"/>
                    <w:lang w:eastAsia="it-IT"/>
                    <w14:textFill>
                      <w14:solidFill>
                        <w14:schemeClr w14:val="tx1"/>
                      </w14:solidFill>
                    </w14:textFill>
                  </w:rPr>
                </m:ctrlPr>
              </m:e>
            </m:nary>
            <m:ctrlPr>
              <w:rPr>
                <w:rFonts w:ascii="Cambria Math" w:hAnsi="Cambria Math" w:eastAsia="Times New Roman" w:cs="Verdana"/>
                <w:color w:val="000000" w:themeColor="text1"/>
                <w:sz w:val="22"/>
                <w:szCs w:val="22"/>
                <w:lang w:eastAsia="it-IT"/>
                <w14:textFill>
                  <w14:solidFill>
                    <w14:schemeClr w14:val="tx1"/>
                  </w14:solidFill>
                </w14:textFill>
              </w:rPr>
            </m:ctrlPr>
          </m:e>
        </m:d>
        <m:r>
          <m:rPr>
            <m:sty m:val="b"/>
          </m:rPr>
          <w:rPr>
            <w:rFonts w:ascii="Cambria Math" w:hAnsi="Cambria Math" w:eastAsia="Times New Roman" w:cs="Verdana"/>
            <w:color w:val="000000" w:themeColor="text1"/>
            <w:sz w:val="22"/>
            <w:szCs w:val="22"/>
            <w:lang w:eastAsia="it-IT"/>
            <w14:textFill>
              <w14:solidFill>
                <w14:schemeClr w14:val="tx1"/>
              </w14:solidFill>
            </w14:textFill>
          </w:rPr>
          <m:t>∘</m:t>
        </m:r>
        <m:r>
          <m:rPr/>
          <w:rPr>
            <w:rFonts w:ascii="Cambria Math" w:hAnsi="Cambria Math" w:eastAsia="Times New Roman" w:cs="Verdana"/>
            <w:color w:val="000000" w:themeColor="text1"/>
            <w:sz w:val="22"/>
            <w:szCs w:val="22"/>
            <w:lang w:eastAsia="it-IT"/>
            <w14:textFill>
              <w14:solidFill>
                <w14:schemeClr w14:val="tx1"/>
              </w14:solidFill>
            </w14:textFill>
          </w:rPr>
          <m:t xml:space="preserve"> </m:t>
        </m:r>
        <m:d>
          <m:dPr>
            <m:begChr m:val="["/>
            <m:endChr m:val="]"/>
            <m:ctrlPr>
              <w:rPr>
                <w:rFonts w:ascii="Cambria Math" w:hAnsi="Cambria Math" w:eastAsia="Times New Roman" w:cs="Verdana"/>
                <w:i/>
                <w:color w:val="000000" w:themeColor="text1"/>
                <w:sz w:val="22"/>
                <w:szCs w:val="22"/>
                <w:lang w:eastAsia="it-IT"/>
                <w14:textFill>
                  <w14:solidFill>
                    <w14:schemeClr w14:val="tx1"/>
                  </w14:solidFill>
                </w14:textFill>
              </w:rPr>
            </m:ctrlPr>
          </m:dPr>
          <m:e>
            <m:r>
              <m:rPr/>
              <w:rPr>
                <w:rFonts w:ascii="Cambria Math" w:hAnsi="Cambria Math" w:eastAsia="Times New Roman" w:cs="Verdana"/>
                <w:color w:val="000000" w:themeColor="text1"/>
                <w:sz w:val="22"/>
                <w:szCs w:val="22"/>
                <w:lang w:eastAsia="it-IT"/>
                <w14:textFill>
                  <w14:solidFill>
                    <w14:schemeClr w14:val="tx1"/>
                  </w14:solidFill>
                </w14:textFill>
              </w:rPr>
              <m:t>IL=0=&gt;</m:t>
            </m:r>
            <m:nary>
              <m:naryPr>
                <m:chr m:val="∑"/>
                <m:limLoc m:val="undOvr"/>
                <m:ctrlPr>
                  <w:rPr>
                    <w:rFonts w:ascii="Cambria Math" w:hAnsi="Cambria Math" w:eastAsia="Times New Roman" w:cs="Verdana"/>
                    <w:i/>
                    <w:color w:val="000000" w:themeColor="text1"/>
                    <w:sz w:val="22"/>
                    <w:szCs w:val="22"/>
                    <w:lang w:eastAsia="it-IT"/>
                    <w14:textFill>
                      <w14:solidFill>
                        <w14:schemeClr w14:val="tx1"/>
                      </w14:solidFill>
                    </w14:textFill>
                  </w:rPr>
                </m:ctrlPr>
              </m:naryPr>
              <m:sub>
                <m:r>
                  <m:rPr/>
                  <w:rPr>
                    <w:rFonts w:ascii="Cambria Math" w:hAnsi="Cambria Math" w:eastAsia="Times New Roman" w:cs="Verdana"/>
                    <w:color w:val="000000" w:themeColor="text1"/>
                    <w:sz w:val="22"/>
                    <w:szCs w:val="22"/>
                    <w:lang w:eastAsia="it-IT"/>
                    <w14:textFill>
                      <w14:solidFill>
                        <w14:schemeClr w14:val="tx1"/>
                      </w14:solidFill>
                    </w14:textFill>
                  </w:rPr>
                  <m:t>n=0</m:t>
                </m:r>
                <m:ctrlPr>
                  <w:rPr>
                    <w:rFonts w:ascii="Cambria Math" w:hAnsi="Cambria Math" w:eastAsia="Times New Roman" w:cs="Verdana"/>
                    <w:i/>
                    <w:color w:val="000000" w:themeColor="text1"/>
                    <w:sz w:val="22"/>
                    <w:szCs w:val="22"/>
                    <w:lang w:eastAsia="it-IT"/>
                    <w14:textFill>
                      <w14:solidFill>
                        <w14:schemeClr w14:val="tx1"/>
                      </w14:solidFill>
                    </w14:textFill>
                  </w:rPr>
                </m:ctrlPr>
              </m:sub>
              <m:sup>
                <m:r>
                  <m:rPr/>
                  <w:rPr>
                    <w:rFonts w:ascii="Cambria Math" w:hAnsi="Cambria Math" w:eastAsia="Times New Roman" w:cs="Verdana"/>
                    <w:color w:val="000000" w:themeColor="text1"/>
                    <w:sz w:val="22"/>
                    <w:szCs w:val="22"/>
                    <w:lang w:eastAsia="it-IT"/>
                    <w14:textFill>
                      <w14:solidFill>
                        <w14:schemeClr w14:val="tx1"/>
                      </w14:solidFill>
                    </w14:textFill>
                  </w:rPr>
                  <m:t>∞</m:t>
                </m:r>
                <m:ctrlPr>
                  <w:rPr>
                    <w:rFonts w:ascii="Cambria Math" w:hAnsi="Cambria Math" w:eastAsia="Times New Roman" w:cs="Verdana"/>
                    <w:i/>
                    <w:color w:val="000000" w:themeColor="text1"/>
                    <w:sz w:val="22"/>
                    <w:szCs w:val="22"/>
                    <w:lang w:eastAsia="it-IT"/>
                    <w14:textFill>
                      <w14:solidFill>
                        <w14:schemeClr w14:val="tx1"/>
                      </w14:solidFill>
                    </w14:textFill>
                  </w:rPr>
                </m:ctrlPr>
              </m:sup>
              <m:e>
                <m:r>
                  <m:rPr/>
                  <w:rPr>
                    <w:rFonts w:ascii="Cambria Math" w:hAnsi="Cambria Math" w:eastAsia="Times New Roman" w:cs="Verdana"/>
                    <w:color w:val="000000" w:themeColor="text1"/>
                    <w:sz w:val="22"/>
                    <w:szCs w:val="22"/>
                    <w:lang w:eastAsia="it-IT"/>
                    <w14:textFill>
                      <w14:solidFill>
                        <w14:schemeClr w14:val="tx1"/>
                      </w14:solidFill>
                    </w14:textFill>
                  </w:rPr>
                  <m:t xml:space="preserve">AL </m:t>
                </m:r>
                <m:d>
                  <m:dPr>
                    <m:ctrlPr>
                      <w:rPr>
                        <w:rFonts w:ascii="Cambria Math" w:hAnsi="Cambria Math" w:eastAsia="Times New Roman" w:cs="Verdana"/>
                        <w:i/>
                        <w:color w:val="000000" w:themeColor="text1"/>
                        <w:sz w:val="22"/>
                        <w:szCs w:val="22"/>
                        <w:lang w:eastAsia="it-IT"/>
                        <w14:textFill>
                          <w14:solidFill>
                            <w14:schemeClr w14:val="tx1"/>
                          </w14:solidFill>
                        </w14:textFill>
                      </w:rPr>
                    </m:ctrlPr>
                  </m:dPr>
                  <m:e>
                    <m:r>
                      <m:rPr/>
                      <w:rPr>
                        <w:rFonts w:ascii="Cambria Math" w:hAnsi="Cambria Math" w:eastAsia="Times New Roman" w:cs="Verdana"/>
                        <w:color w:val="000000" w:themeColor="text1"/>
                        <w:sz w:val="22"/>
                        <w:szCs w:val="22"/>
                        <w:lang w:eastAsia="it-IT"/>
                        <w14:textFill>
                          <w14:solidFill>
                            <w14:schemeClr w14:val="tx1"/>
                          </w14:solidFill>
                        </w14:textFill>
                      </w:rPr>
                      <m:t>n</m:t>
                    </m:r>
                    <m:ctrlPr>
                      <w:rPr>
                        <w:rFonts w:ascii="Cambria Math" w:hAnsi="Cambria Math" w:eastAsia="Times New Roman" w:cs="Verdana"/>
                        <w:i/>
                        <w:color w:val="000000" w:themeColor="text1"/>
                        <w:sz w:val="22"/>
                        <w:szCs w:val="22"/>
                        <w:lang w:eastAsia="it-IT"/>
                        <w14:textFill>
                          <w14:solidFill>
                            <w14:schemeClr w14:val="tx1"/>
                          </w14:solidFill>
                        </w14:textFill>
                      </w:rPr>
                    </m:ctrlPr>
                  </m:e>
                </m:d>
                <m:ctrlPr>
                  <w:rPr>
                    <w:rFonts w:ascii="Cambria Math" w:hAnsi="Cambria Math" w:eastAsia="Times New Roman" w:cs="Verdana"/>
                    <w:i/>
                    <w:color w:val="000000" w:themeColor="text1"/>
                    <w:sz w:val="22"/>
                    <w:szCs w:val="22"/>
                    <w:lang w:eastAsia="it-IT"/>
                    <w14:textFill>
                      <w14:solidFill>
                        <w14:schemeClr w14:val="tx1"/>
                      </w14:solidFill>
                    </w14:textFill>
                  </w:rPr>
                </m:ctrlPr>
              </m:e>
            </m:nary>
            <m:ctrlPr>
              <w:rPr>
                <w:rFonts w:ascii="Cambria Math" w:hAnsi="Cambria Math" w:eastAsia="Times New Roman" w:cs="Verdana"/>
                <w:i/>
                <w:color w:val="000000" w:themeColor="text1"/>
                <w:sz w:val="22"/>
                <w:szCs w:val="22"/>
                <w:lang w:eastAsia="it-IT"/>
                <w14:textFill>
                  <w14:solidFill>
                    <w14:schemeClr w14:val="tx1"/>
                  </w14:solidFill>
                </w14:textFill>
              </w:rPr>
            </m:ctrlPr>
          </m:e>
        </m:d>
        <m:r>
          <m:rPr/>
          <w:rPr>
            <w:rFonts w:ascii="Cambria Math" w:hAnsi="Cambria Math" w:eastAsia="Times New Roman" w:cs="Verdana"/>
            <w:color w:val="000000" w:themeColor="text1"/>
            <w:sz w:val="22"/>
            <w:szCs w:val="22"/>
            <w:lang w:eastAsia="it-IT"/>
            <w14:textFill>
              <w14:solidFill>
                <w14:schemeClr w14:val="tx1"/>
              </w14:solidFill>
            </w14:textFill>
          </w:rPr>
          <m:t xml:space="preserve"> </m:t>
        </m:r>
        <m:r>
          <m:rPr>
            <m:sty m:val="b"/>
          </m:rPr>
          <w:rPr>
            <w:rFonts w:ascii="Cambria Math" w:hAnsi="Cambria Math" w:eastAsia="Times New Roman" w:cs="Verdana"/>
            <w:color w:val="000000" w:themeColor="text1"/>
            <w:sz w:val="22"/>
            <w:szCs w:val="22"/>
            <w:lang w:eastAsia="it-IT"/>
            <w14:textFill>
              <w14:solidFill>
                <w14:schemeClr w14:val="tx1"/>
              </w14:solidFill>
            </w14:textFill>
          </w:rPr>
          <m:t>∘</m:t>
        </m:r>
        <m:r>
          <m:rPr/>
          <w:rPr>
            <w:rFonts w:ascii="Cambria Math" w:hAnsi="Cambria Math" w:eastAsia="Times New Roman" w:cs="Verdana"/>
            <w:color w:val="000000" w:themeColor="text1"/>
            <w:sz w:val="22"/>
            <w:szCs w:val="22"/>
            <w:lang w:eastAsia="it-IT"/>
            <w14:textFill>
              <w14:solidFill>
                <w14:schemeClr w14:val="tx1"/>
              </w14:solidFill>
            </w14:textFill>
          </w:rPr>
          <m:t xml:space="preserve"> </m:t>
        </m:r>
        <m:d>
          <m:dPr>
            <m:begChr m:val="{"/>
            <m:endChr m:val=""/>
            <m:ctrlPr>
              <w:rPr>
                <w:rFonts w:ascii="Cambria Math" w:hAnsi="Cambria Math" w:eastAsia="Times New Roman" w:cs="Verdana"/>
                <w:i/>
                <w:color w:val="000000" w:themeColor="text1"/>
                <w:sz w:val="22"/>
                <w:szCs w:val="22"/>
                <w:lang w:eastAsia="it-IT"/>
                <w14:textFill>
                  <w14:solidFill>
                    <w14:schemeClr w14:val="tx1"/>
                  </w14:solidFill>
                </w14:textFill>
              </w:rPr>
            </m:ctrlPr>
          </m:dPr>
          <m:e>
            <m:r>
              <m:rPr/>
              <w:rPr>
                <w:rFonts w:ascii="Cambria Math" w:hAnsi="Cambria Math" w:eastAsia="Times New Roman" w:cs="Verdana"/>
                <w:color w:val="000000" w:themeColor="text1"/>
                <w:sz w:val="22"/>
                <w:szCs w:val="22"/>
                <w:lang w:eastAsia="it-IT"/>
                <w14:textFill>
                  <w14:solidFill>
                    <w14:schemeClr w14:val="tx1"/>
                  </w14:solidFill>
                </w14:textFill>
              </w:rPr>
              <m:t>AL≈0=&gt;</m:t>
            </m:r>
            <m:nary>
              <m:naryPr>
                <m:chr m:val="∑"/>
                <m:limLoc m:val="undOvr"/>
                <m:ctrlPr>
                  <w:rPr>
                    <w:rFonts w:ascii="Cambria Math" w:hAnsi="Cambria Math" w:eastAsia="Times New Roman" w:cs="Verdana"/>
                    <w:i/>
                    <w:color w:val="000000" w:themeColor="text1"/>
                    <w:sz w:val="22"/>
                    <w:szCs w:val="22"/>
                    <w:lang w:eastAsia="it-IT"/>
                    <w14:textFill>
                      <w14:solidFill>
                        <w14:schemeClr w14:val="tx1"/>
                      </w14:solidFill>
                    </w14:textFill>
                  </w:rPr>
                </m:ctrlPr>
              </m:naryPr>
              <m:sub>
                <m:r>
                  <m:rPr/>
                  <w:rPr>
                    <w:rFonts w:ascii="Cambria Math" w:hAnsi="Cambria Math" w:eastAsia="Times New Roman" w:cs="Verdana"/>
                    <w:color w:val="000000" w:themeColor="text1"/>
                    <w:sz w:val="22"/>
                    <w:szCs w:val="22"/>
                    <w:lang w:eastAsia="it-IT"/>
                    <w14:textFill>
                      <w14:solidFill>
                        <w14:schemeClr w14:val="tx1"/>
                      </w14:solidFill>
                    </w14:textFill>
                  </w:rPr>
                  <m:t>n=0</m:t>
                </m:r>
                <m:ctrlPr>
                  <w:rPr>
                    <w:rFonts w:ascii="Cambria Math" w:hAnsi="Cambria Math" w:eastAsia="Times New Roman" w:cs="Verdana"/>
                    <w:i/>
                    <w:color w:val="000000" w:themeColor="text1"/>
                    <w:sz w:val="22"/>
                    <w:szCs w:val="22"/>
                    <w:lang w:eastAsia="it-IT"/>
                    <w14:textFill>
                      <w14:solidFill>
                        <w14:schemeClr w14:val="tx1"/>
                      </w14:solidFill>
                    </w14:textFill>
                  </w:rPr>
                </m:ctrlPr>
              </m:sub>
              <m:sup>
                <m:r>
                  <m:rPr/>
                  <w:rPr>
                    <w:rFonts w:ascii="Cambria Math" w:hAnsi="Cambria Math" w:eastAsia="Times New Roman" w:cs="Verdana"/>
                    <w:color w:val="000000" w:themeColor="text1"/>
                    <w:sz w:val="22"/>
                    <w:szCs w:val="22"/>
                    <w:lang w:eastAsia="it-IT"/>
                    <w14:textFill>
                      <w14:solidFill>
                        <w14:schemeClr w14:val="tx1"/>
                      </w14:solidFill>
                    </w14:textFill>
                  </w:rPr>
                  <m:t>∞</m:t>
                </m:r>
                <m:ctrlPr>
                  <w:rPr>
                    <w:rFonts w:ascii="Cambria Math" w:hAnsi="Cambria Math" w:eastAsia="Times New Roman" w:cs="Verdana"/>
                    <w:i/>
                    <w:color w:val="000000" w:themeColor="text1"/>
                    <w:sz w:val="22"/>
                    <w:szCs w:val="22"/>
                    <w:lang w:eastAsia="it-IT"/>
                    <w14:textFill>
                      <w14:solidFill>
                        <w14:schemeClr w14:val="tx1"/>
                      </w14:solidFill>
                    </w14:textFill>
                  </w:rPr>
                </m:ctrlPr>
              </m:sup>
              <m:e>
                <m:r>
                  <m:rPr/>
                  <w:rPr>
                    <w:rFonts w:ascii="Cambria Math" w:hAnsi="Cambria Math" w:eastAsia="Times New Roman" w:cs="Verdana"/>
                    <w:color w:val="000000" w:themeColor="text1"/>
                    <w:sz w:val="22"/>
                    <w:szCs w:val="22"/>
                    <w:lang w:eastAsia="it-IT"/>
                    <w14:textFill>
                      <w14:solidFill>
                        <w14:schemeClr w14:val="tx1"/>
                      </w14:solidFill>
                    </w14:textFill>
                  </w:rPr>
                  <m:t xml:space="preserve">AI </m:t>
                </m:r>
                <m:d>
                  <m:dPr>
                    <m:ctrlPr>
                      <w:rPr>
                        <w:rFonts w:ascii="Cambria Math" w:hAnsi="Cambria Math" w:eastAsia="Times New Roman" w:cs="Verdana"/>
                        <w:i/>
                        <w:color w:val="000000" w:themeColor="text1"/>
                        <w:sz w:val="22"/>
                        <w:szCs w:val="22"/>
                        <w:lang w:eastAsia="it-IT"/>
                        <w14:textFill>
                          <w14:solidFill>
                            <w14:schemeClr w14:val="tx1"/>
                          </w14:solidFill>
                        </w14:textFill>
                      </w:rPr>
                    </m:ctrlPr>
                  </m:dPr>
                  <m:e>
                    <m:r>
                      <m:rPr/>
                      <w:rPr>
                        <w:rFonts w:ascii="Cambria Math" w:hAnsi="Cambria Math" w:eastAsia="Times New Roman" w:cs="Verdana"/>
                        <w:color w:val="000000" w:themeColor="text1"/>
                        <w:sz w:val="22"/>
                        <w:szCs w:val="22"/>
                        <w:lang w:eastAsia="it-IT"/>
                        <w14:textFill>
                          <w14:solidFill>
                            <w14:schemeClr w14:val="tx1"/>
                          </w14:solidFill>
                        </w14:textFill>
                      </w:rPr>
                      <m:t>n</m:t>
                    </m:r>
                    <m:ctrlPr>
                      <w:rPr>
                        <w:rFonts w:ascii="Cambria Math" w:hAnsi="Cambria Math" w:eastAsia="Times New Roman" w:cs="Verdana"/>
                        <w:i/>
                        <w:color w:val="000000" w:themeColor="text1"/>
                        <w:sz w:val="22"/>
                        <w:szCs w:val="22"/>
                        <w:lang w:eastAsia="it-IT"/>
                        <w14:textFill>
                          <w14:solidFill>
                            <w14:schemeClr w14:val="tx1"/>
                          </w14:solidFill>
                        </w14:textFill>
                      </w:rPr>
                    </m:ctrlPr>
                  </m:e>
                </m:d>
                <m:ctrlPr>
                  <w:rPr>
                    <w:rFonts w:ascii="Cambria Math" w:hAnsi="Cambria Math" w:eastAsia="Times New Roman" w:cs="Verdana"/>
                    <w:i/>
                    <w:color w:val="000000" w:themeColor="text1"/>
                    <w:sz w:val="22"/>
                    <w:szCs w:val="22"/>
                    <w:lang w:eastAsia="it-IT"/>
                    <w14:textFill>
                      <w14:solidFill>
                        <w14:schemeClr w14:val="tx1"/>
                      </w14:solidFill>
                    </w14:textFill>
                  </w:rPr>
                </m:ctrlPr>
              </m:e>
            </m:nary>
            <m:ctrlPr>
              <w:rPr>
                <w:rFonts w:ascii="Cambria Math" w:hAnsi="Cambria Math" w:eastAsia="Times New Roman" w:cs="Verdana"/>
                <w:i/>
                <w:color w:val="000000" w:themeColor="text1"/>
                <w:sz w:val="22"/>
                <w:szCs w:val="22"/>
                <w:lang w:eastAsia="it-IT"/>
                <w14:textFill>
                  <w14:solidFill>
                    <w14:schemeClr w14:val="tx1"/>
                  </w14:solidFill>
                </w14:textFill>
              </w:rPr>
            </m:ctrlPr>
          </m:e>
        </m:d>
      </m:oMath>
      <w:r>
        <w:rPr>
          <w:rFonts w:ascii="Verdana" w:hAnsi="Verdana" w:eastAsia="Times New Roman" w:cs="Verdana"/>
          <w:color w:val="000000" w:themeColor="text1"/>
          <w:sz w:val="22"/>
          <w:szCs w:val="22"/>
          <w:lang w:eastAsia="it-IT"/>
          <w14:textFill>
            <w14:solidFill>
              <w14:schemeClr w14:val="tx1"/>
            </w14:solidFill>
          </w14:textFill>
        </w:rPr>
        <w:t>}</w:t>
      </w:r>
    </w:p>
    <w:p>
      <w:pPr>
        <w:jc w:val="both"/>
        <w:rPr>
          <w:rFonts w:ascii="Verdana" w:hAnsi="Verdana" w:eastAsia="Times New Roman" w:cs="Verdana"/>
          <w:color w:val="000000" w:themeColor="text1"/>
          <w:sz w:val="22"/>
          <w:szCs w:val="22"/>
          <w:lang w:eastAsia="it-IT"/>
          <w14:textFill>
            <w14:solidFill>
              <w14:schemeClr w14:val="tx1"/>
            </w14:solidFill>
          </w14:textFill>
        </w:rPr>
      </w:pPr>
    </w:p>
    <w:p>
      <w:pPr>
        <w:jc w:val="both"/>
        <w:rPr>
          <w:rFonts w:ascii="Verdana" w:hAnsi="Verdana" w:eastAsia="Times New Roman" w:cs="Verdana"/>
          <w:color w:val="000000" w:themeColor="text1"/>
          <w:sz w:val="22"/>
          <w:szCs w:val="22"/>
          <w:lang w:eastAsia="it-IT"/>
          <w14:textFill>
            <w14:solidFill>
              <w14:schemeClr w14:val="tx1"/>
            </w14:solidFill>
          </w14:textFill>
        </w:rPr>
      </w:pPr>
    </w:p>
    <w:p>
      <w:p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Convenzionalmente, per mera comodità espositiva, fissiamo:</w:t>
      </w:r>
    </w:p>
    <w:p>
      <w:pPr>
        <w:jc w:val="both"/>
        <w:rPr>
          <w:rFonts w:ascii="Verdana" w:hAnsi="Verdana" w:cs="Verdana" w:eastAsiaTheme="minorEastAsia"/>
          <w:color w:val="000000" w:themeColor="text1"/>
          <w:sz w:val="22"/>
          <w:szCs w:val="22"/>
          <w:lang w:eastAsia="it-IT"/>
          <w14:textFill>
            <w14:solidFill>
              <w14:schemeClr w14:val="tx1"/>
            </w14:solidFill>
          </w14:textFill>
        </w:rPr>
      </w:pPr>
      <m:oMathPara>
        <m:oMath>
          <m:r>
            <m:rPr/>
            <w:rPr>
              <w:rFonts w:ascii="Cambria Math" w:hAnsi="Cambria Math" w:eastAsia="Times New Roman" w:cs="Verdana"/>
              <w:color w:val="000000" w:themeColor="text1"/>
              <w:sz w:val="22"/>
              <w:szCs w:val="22"/>
              <w:lang w:eastAsia="it-IT"/>
              <w14:textFill>
                <w14:solidFill>
                  <w14:schemeClr w14:val="tx1"/>
                </w14:solidFill>
              </w14:textFill>
            </w:rPr>
            <m:t>IP=</m:t>
          </m:r>
        </m:oMath>
      </m:oMathPara>
    </w:p>
    <w:p>
      <w:pPr>
        <w:jc w:val="both"/>
        <w:rPr>
          <w:rFonts w:ascii="Verdana" w:hAnsi="Verdana" w:eastAsia="Times New Roman" w:cs="Verdana"/>
          <w:color w:val="000000" w:themeColor="text1"/>
          <w:sz w:val="22"/>
          <w:szCs w:val="22"/>
          <w:lang w:eastAsia="it-IT"/>
          <w14:textFill>
            <w14:solidFill>
              <w14:schemeClr w14:val="tx1"/>
            </w14:solidFill>
          </w14:textFill>
        </w:rPr>
      </w:pPr>
      <m:oMath>
        <m:d>
          <m:dPr>
            <m:ctrlPr>
              <w:rPr>
                <w:rFonts w:ascii="Cambria Math" w:hAnsi="Cambria Math" w:eastAsia="Times New Roman" w:cs="Verdana"/>
                <w:i/>
                <w:color w:val="000000" w:themeColor="text1"/>
                <w:sz w:val="22"/>
                <w:szCs w:val="22"/>
                <w:lang w:eastAsia="it-IT"/>
                <w14:textFill>
                  <w14:solidFill>
                    <w14:schemeClr w14:val="tx1"/>
                  </w14:solidFill>
                </w14:textFill>
              </w:rPr>
            </m:ctrlPr>
          </m:dPr>
          <m:e>
            <m:nary>
              <m:naryPr>
                <m:chr m:val="∑"/>
                <m:limLoc m:val="undOvr"/>
                <m:ctrlPr>
                  <w:rPr>
                    <w:rFonts w:ascii="Cambria Math" w:hAnsi="Cambria Math" w:eastAsia="Times New Roman" w:cs="Verdana"/>
                    <w:i/>
                    <w:color w:val="000000" w:themeColor="text1"/>
                    <w:sz w:val="22"/>
                    <w:szCs w:val="22"/>
                    <w:lang w:eastAsia="it-IT"/>
                    <w14:textFill>
                      <w14:solidFill>
                        <w14:schemeClr w14:val="tx1"/>
                      </w14:solidFill>
                    </w14:textFill>
                  </w:rPr>
                </m:ctrlPr>
              </m:naryPr>
              <m:sub>
                <m:r>
                  <m:rPr/>
                  <w:rPr>
                    <w:rFonts w:ascii="Cambria Math" w:hAnsi="Cambria Math" w:eastAsia="Times New Roman" w:cs="Verdana"/>
                    <w:color w:val="000000" w:themeColor="text1"/>
                    <w:sz w:val="22"/>
                    <w:szCs w:val="22"/>
                    <w:lang w:eastAsia="it-IT"/>
                    <w14:textFill>
                      <w14:solidFill>
                        <w14:schemeClr w14:val="tx1"/>
                      </w14:solidFill>
                    </w14:textFill>
                  </w:rPr>
                  <m:t>n=0</m:t>
                </m:r>
                <m:ctrlPr>
                  <w:rPr>
                    <w:rFonts w:ascii="Cambria Math" w:hAnsi="Cambria Math" w:eastAsia="Times New Roman" w:cs="Verdana"/>
                    <w:i/>
                    <w:color w:val="000000" w:themeColor="text1"/>
                    <w:sz w:val="22"/>
                    <w:szCs w:val="22"/>
                    <w:lang w:eastAsia="it-IT"/>
                    <w14:textFill>
                      <w14:solidFill>
                        <w14:schemeClr w14:val="tx1"/>
                      </w14:solidFill>
                    </w14:textFill>
                  </w:rPr>
                </m:ctrlPr>
              </m:sub>
              <m:sup>
                <m:r>
                  <m:rPr/>
                  <w:rPr>
                    <w:rFonts w:ascii="Cambria Math" w:hAnsi="Cambria Math" w:eastAsia="Times New Roman" w:cs="Verdana"/>
                    <w:color w:val="000000" w:themeColor="text1"/>
                    <w:sz w:val="22"/>
                    <w:szCs w:val="22"/>
                    <w:lang w:eastAsia="it-IT"/>
                    <w14:textFill>
                      <w14:solidFill>
                        <w14:schemeClr w14:val="tx1"/>
                      </w14:solidFill>
                    </w14:textFill>
                  </w:rPr>
                  <m:t>∞</m:t>
                </m:r>
                <m:ctrlPr>
                  <w:rPr>
                    <w:rFonts w:ascii="Cambria Math" w:hAnsi="Cambria Math" w:eastAsia="Times New Roman" w:cs="Verdana"/>
                    <w:i/>
                    <w:color w:val="000000" w:themeColor="text1"/>
                    <w:sz w:val="22"/>
                    <w:szCs w:val="22"/>
                    <w:lang w:eastAsia="it-IT"/>
                    <w14:textFill>
                      <w14:solidFill>
                        <w14:schemeClr w14:val="tx1"/>
                      </w14:solidFill>
                    </w14:textFill>
                  </w:rPr>
                </m:ctrlPr>
              </m:sup>
              <m:e>
                <m:r>
                  <m:rPr/>
                  <w:rPr>
                    <w:rFonts w:ascii="Cambria Math" w:hAnsi="Cambria Math" w:eastAsia="Times New Roman" w:cs="Verdana"/>
                    <w:color w:val="000000" w:themeColor="text1"/>
                    <w:sz w:val="22"/>
                    <w:szCs w:val="22"/>
                    <w:lang w:eastAsia="it-IT"/>
                    <w14:textFill>
                      <w14:solidFill>
                        <w14:schemeClr w14:val="tx1"/>
                      </w14:solidFill>
                    </w14:textFill>
                  </w:rPr>
                  <m:t>IL</m:t>
                </m:r>
                <m:ctrlPr>
                  <w:rPr>
                    <w:rFonts w:ascii="Cambria Math" w:hAnsi="Cambria Math" w:eastAsia="Times New Roman" w:cs="Verdana"/>
                    <w:i/>
                    <w:color w:val="000000" w:themeColor="text1"/>
                    <w:sz w:val="22"/>
                    <w:szCs w:val="22"/>
                    <w:lang w:eastAsia="it-IT"/>
                    <w14:textFill>
                      <w14:solidFill>
                        <w14:schemeClr w14:val="tx1"/>
                      </w14:solidFill>
                    </w14:textFill>
                  </w:rPr>
                </m:ctrlPr>
              </m:e>
            </m:nary>
            <m:d>
              <m:dPr>
                <m:ctrlPr>
                  <w:rPr>
                    <w:rFonts w:ascii="Cambria Math" w:hAnsi="Cambria Math" w:eastAsia="Times New Roman" w:cs="Verdana"/>
                    <w:i/>
                    <w:color w:val="000000" w:themeColor="text1"/>
                    <w:sz w:val="22"/>
                    <w:szCs w:val="22"/>
                    <w:lang w:eastAsia="it-IT"/>
                    <w14:textFill>
                      <w14:solidFill>
                        <w14:schemeClr w14:val="tx1"/>
                      </w14:solidFill>
                    </w14:textFill>
                  </w:rPr>
                </m:ctrlPr>
              </m:dPr>
              <m:e>
                <m:r>
                  <m:rPr/>
                  <w:rPr>
                    <w:rFonts w:ascii="Cambria Math" w:hAnsi="Cambria Math" w:eastAsia="Times New Roman" w:cs="Verdana"/>
                    <w:color w:val="000000" w:themeColor="text1"/>
                    <w:sz w:val="22"/>
                    <w:szCs w:val="22"/>
                    <w:lang w:eastAsia="it-IT"/>
                    <w14:textFill>
                      <w14:solidFill>
                        <w14:schemeClr w14:val="tx1"/>
                      </w14:solidFill>
                    </w14:textFill>
                  </w:rPr>
                  <m:t>n</m:t>
                </m:r>
                <m:ctrlPr>
                  <w:rPr>
                    <w:rFonts w:ascii="Cambria Math" w:hAnsi="Cambria Math" w:eastAsia="Times New Roman" w:cs="Verdana"/>
                    <w:i/>
                    <w:color w:val="000000" w:themeColor="text1"/>
                    <w:sz w:val="22"/>
                    <w:szCs w:val="22"/>
                    <w:lang w:eastAsia="it-IT"/>
                    <w14:textFill>
                      <w14:solidFill>
                        <w14:schemeClr w14:val="tx1"/>
                      </w14:solidFill>
                    </w14:textFill>
                  </w:rPr>
                </m:ctrlPr>
              </m:e>
            </m:d>
            <m:r>
              <m:rPr/>
              <w:rPr>
                <w:rFonts w:ascii="Cambria Math" w:hAnsi="Cambria Math" w:eastAsia="Times New Roman" w:cs="Verdana"/>
                <w:color w:val="000000" w:themeColor="text1"/>
                <w:sz w:val="22"/>
                <w:szCs w:val="22"/>
                <w:lang w:eastAsia="it-IT"/>
                <w14:textFill>
                  <w14:solidFill>
                    <w14:schemeClr w14:val="tx1"/>
                  </w14:solidFill>
                </w14:textFill>
              </w:rPr>
              <m:t xml:space="preserve"> </m:t>
            </m:r>
            <m:r>
              <m:rPr>
                <m:sty m:val="p"/>
              </m:rPr>
              <w:rPr>
                <w:rFonts w:ascii="Cambria Math" w:hAnsi="Cambria Math" w:eastAsia="Times New Roman" w:cs="Verdana"/>
                <w:color w:val="000000" w:themeColor="text1"/>
                <w:sz w:val="22"/>
                <w:szCs w:val="22"/>
                <w:lang w:eastAsia="it-IT"/>
                <w14:textFill>
                  <w14:solidFill>
                    <w14:schemeClr w14:val="tx1"/>
                  </w14:solidFill>
                </w14:textFill>
              </w:rPr>
              <m:t>∧</m:t>
            </m:r>
            <m:r>
              <m:rPr/>
              <w:rPr>
                <w:rFonts w:ascii="Cambria Math" w:hAnsi="Cambria Math" w:eastAsia="Times New Roman" w:cs="Verdana"/>
                <w:color w:val="000000" w:themeColor="text1"/>
                <w:sz w:val="22"/>
                <w:szCs w:val="22"/>
                <w:lang w:eastAsia="it-IT"/>
                <w14:textFill>
                  <w14:solidFill>
                    <w14:schemeClr w14:val="tx1"/>
                  </w14:solidFill>
                </w14:textFill>
              </w:rPr>
              <m:t xml:space="preserve"> </m:t>
            </m:r>
            <m:nary>
              <m:naryPr>
                <m:chr m:val="∑"/>
                <m:limLoc m:val="undOvr"/>
                <m:ctrlPr>
                  <w:rPr>
                    <w:rFonts w:ascii="Cambria Math" w:hAnsi="Cambria Math" w:eastAsia="Times New Roman" w:cs="Verdana"/>
                    <w:i/>
                    <w:color w:val="000000" w:themeColor="text1"/>
                    <w:sz w:val="22"/>
                    <w:szCs w:val="22"/>
                    <w:lang w:eastAsia="it-IT"/>
                    <w14:textFill>
                      <w14:solidFill>
                        <w14:schemeClr w14:val="tx1"/>
                      </w14:solidFill>
                    </w14:textFill>
                  </w:rPr>
                </m:ctrlPr>
              </m:naryPr>
              <m:sub>
                <m:r>
                  <m:rPr/>
                  <w:rPr>
                    <w:rFonts w:ascii="Cambria Math" w:hAnsi="Cambria Math" w:eastAsia="Times New Roman" w:cs="Verdana"/>
                    <w:color w:val="000000" w:themeColor="text1"/>
                    <w:sz w:val="22"/>
                    <w:szCs w:val="22"/>
                    <w:lang w:eastAsia="it-IT"/>
                    <w14:textFill>
                      <w14:solidFill>
                        <w14:schemeClr w14:val="tx1"/>
                      </w14:solidFill>
                    </w14:textFill>
                  </w:rPr>
                  <m:t>n=0</m:t>
                </m:r>
                <m:ctrlPr>
                  <w:rPr>
                    <w:rFonts w:ascii="Cambria Math" w:hAnsi="Cambria Math" w:eastAsia="Times New Roman" w:cs="Verdana"/>
                    <w:i/>
                    <w:color w:val="000000" w:themeColor="text1"/>
                    <w:sz w:val="22"/>
                    <w:szCs w:val="22"/>
                    <w:lang w:eastAsia="it-IT"/>
                    <w14:textFill>
                      <w14:solidFill>
                        <w14:schemeClr w14:val="tx1"/>
                      </w14:solidFill>
                    </w14:textFill>
                  </w:rPr>
                </m:ctrlPr>
              </m:sub>
              <m:sup>
                <m:r>
                  <m:rPr/>
                  <w:rPr>
                    <w:rFonts w:ascii="Cambria Math" w:hAnsi="Cambria Math" w:eastAsia="Times New Roman" w:cs="Verdana"/>
                    <w:color w:val="000000" w:themeColor="text1"/>
                    <w:sz w:val="22"/>
                    <w:szCs w:val="22"/>
                    <w:lang w:eastAsia="it-IT"/>
                    <w14:textFill>
                      <w14:solidFill>
                        <w14:schemeClr w14:val="tx1"/>
                      </w14:solidFill>
                    </w14:textFill>
                  </w:rPr>
                  <m:t>∞</m:t>
                </m:r>
                <m:ctrlPr>
                  <w:rPr>
                    <w:rFonts w:ascii="Cambria Math" w:hAnsi="Cambria Math" w:eastAsia="Times New Roman" w:cs="Verdana"/>
                    <w:i/>
                    <w:color w:val="000000" w:themeColor="text1"/>
                    <w:sz w:val="22"/>
                    <w:szCs w:val="22"/>
                    <w:lang w:eastAsia="it-IT"/>
                    <w14:textFill>
                      <w14:solidFill>
                        <w14:schemeClr w14:val="tx1"/>
                      </w14:solidFill>
                    </w14:textFill>
                  </w:rPr>
                </m:ctrlPr>
              </m:sup>
              <m:e>
                <m:d>
                  <m:dPr>
                    <m:ctrlPr>
                      <w:rPr>
                        <w:rFonts w:ascii="Cambria Math" w:hAnsi="Cambria Math" w:eastAsia="Times New Roman" w:cs="Verdana"/>
                        <w:i/>
                        <w:color w:val="000000" w:themeColor="text1"/>
                        <w:sz w:val="22"/>
                        <w:szCs w:val="22"/>
                        <w:lang w:eastAsia="it-IT"/>
                        <w14:textFill>
                          <w14:solidFill>
                            <w14:schemeClr w14:val="tx1"/>
                          </w14:solidFill>
                        </w14:textFill>
                      </w:rPr>
                    </m:ctrlPr>
                  </m:dPr>
                  <m:e>
                    <m:r>
                      <m:rPr/>
                      <w:rPr>
                        <w:rFonts w:ascii="Cambria Math" w:hAnsi="Cambria Math" w:eastAsia="Times New Roman" w:cs="Verdana"/>
                        <w:color w:val="000000" w:themeColor="text1"/>
                        <w:sz w:val="22"/>
                        <w:szCs w:val="22"/>
                        <w:lang w:eastAsia="it-IT"/>
                        <w14:textFill>
                          <w14:solidFill>
                            <w14:schemeClr w14:val="tx1"/>
                          </w14:solidFill>
                        </w14:textFill>
                      </w:rPr>
                      <m:t>n</m:t>
                    </m:r>
                    <m:ctrlPr>
                      <w:rPr>
                        <w:rFonts w:ascii="Cambria Math" w:hAnsi="Cambria Math" w:eastAsia="Times New Roman" w:cs="Verdana"/>
                        <w:i/>
                        <w:color w:val="000000" w:themeColor="text1"/>
                        <w:sz w:val="22"/>
                        <w:szCs w:val="22"/>
                        <w:lang w:eastAsia="it-IT"/>
                        <w14:textFill>
                          <w14:solidFill>
                            <w14:schemeClr w14:val="tx1"/>
                          </w14:solidFill>
                        </w14:textFill>
                      </w:rPr>
                    </m:ctrlPr>
                  </m:e>
                </m:d>
                <m:r>
                  <m:rPr/>
                  <w:rPr>
                    <w:rFonts w:ascii="Cambria Math" w:hAnsi="Cambria Math" w:eastAsia="Times New Roman" w:cs="Verdana"/>
                    <w:color w:val="000000" w:themeColor="text1"/>
                    <w:sz w:val="22"/>
                    <w:szCs w:val="22"/>
                    <w:lang w:eastAsia="it-IT"/>
                    <w14:textFill>
                      <w14:solidFill>
                        <w14:schemeClr w14:val="tx1"/>
                      </w14:solidFill>
                    </w14:textFill>
                  </w:rPr>
                  <m:t xml:space="preserve"> IR </m:t>
                </m:r>
                <m:ctrlPr>
                  <w:rPr>
                    <w:rFonts w:ascii="Cambria Math" w:hAnsi="Cambria Math" w:eastAsia="Times New Roman" w:cs="Verdana"/>
                    <w:i/>
                    <w:color w:val="000000" w:themeColor="text1"/>
                    <w:sz w:val="22"/>
                    <w:szCs w:val="22"/>
                    <w:lang w:eastAsia="it-IT"/>
                    <w14:textFill>
                      <w14:solidFill>
                        <w14:schemeClr w14:val="tx1"/>
                      </w14:solidFill>
                    </w14:textFill>
                  </w:rPr>
                </m:ctrlPr>
              </m:e>
            </m:nary>
            <m:ctrlPr>
              <w:rPr>
                <w:rFonts w:ascii="Cambria Math" w:hAnsi="Cambria Math" w:eastAsia="Times New Roman" w:cs="Verdana"/>
                <w:color w:val="000000" w:themeColor="text1"/>
                <w:sz w:val="22"/>
                <w:szCs w:val="22"/>
                <w:lang w:eastAsia="it-IT"/>
                <w14:textFill>
                  <w14:solidFill>
                    <w14:schemeClr w14:val="tx1"/>
                  </w14:solidFill>
                </w14:textFill>
              </w:rPr>
            </m:ctrlPr>
          </m:e>
        </m:d>
        <m:r>
          <m:rPr>
            <m:sty m:val="b"/>
          </m:rPr>
          <w:rPr>
            <w:rFonts w:ascii="Cambria Math" w:hAnsi="Cambria Math" w:eastAsia="Times New Roman" w:cs="Verdana"/>
            <w:color w:val="000000" w:themeColor="text1"/>
            <w:sz w:val="22"/>
            <w:szCs w:val="22"/>
            <w:lang w:eastAsia="it-IT"/>
            <w14:textFill>
              <w14:solidFill>
                <w14:schemeClr w14:val="tx1"/>
              </w14:solidFill>
            </w14:textFill>
          </w:rPr>
          <m:t>∘</m:t>
        </m:r>
        <m:d>
          <m:dPr>
            <m:begChr m:val="["/>
            <m:endChr m:val="]"/>
            <m:ctrlPr>
              <w:rPr>
                <w:rFonts w:ascii="Cambria Math" w:hAnsi="Cambria Math" w:eastAsia="Times New Roman" w:cs="Verdana"/>
                <w:i/>
                <w:color w:val="000000" w:themeColor="text1"/>
                <w:sz w:val="22"/>
                <w:szCs w:val="22"/>
                <w:lang w:eastAsia="it-IT"/>
                <w14:textFill>
                  <w14:solidFill>
                    <w14:schemeClr w14:val="tx1"/>
                  </w14:solidFill>
                </w14:textFill>
              </w:rPr>
            </m:ctrlPr>
          </m:dPr>
          <m:e>
            <m:r>
              <m:rPr/>
              <w:rPr>
                <w:rFonts w:ascii="Cambria Math" w:hAnsi="Cambria Math" w:eastAsia="Times New Roman" w:cs="Verdana"/>
                <w:color w:val="000000" w:themeColor="text1"/>
                <w:sz w:val="22"/>
                <w:szCs w:val="22"/>
                <w:lang w:eastAsia="it-IT"/>
                <w14:textFill>
                  <w14:solidFill>
                    <w14:schemeClr w14:val="tx1"/>
                  </w14:solidFill>
                </w14:textFill>
              </w:rPr>
              <m:t>IL=0=&gt;</m:t>
            </m:r>
            <m:nary>
              <m:naryPr>
                <m:chr m:val="∑"/>
                <m:limLoc m:val="undOvr"/>
                <m:ctrlPr>
                  <w:rPr>
                    <w:rFonts w:ascii="Cambria Math" w:hAnsi="Cambria Math" w:eastAsia="Times New Roman" w:cs="Verdana"/>
                    <w:i/>
                    <w:color w:val="000000" w:themeColor="text1"/>
                    <w:sz w:val="22"/>
                    <w:szCs w:val="22"/>
                    <w:lang w:eastAsia="it-IT"/>
                    <w14:textFill>
                      <w14:solidFill>
                        <w14:schemeClr w14:val="tx1"/>
                      </w14:solidFill>
                    </w14:textFill>
                  </w:rPr>
                </m:ctrlPr>
              </m:naryPr>
              <m:sub>
                <m:r>
                  <m:rPr/>
                  <w:rPr>
                    <w:rFonts w:ascii="Cambria Math" w:hAnsi="Cambria Math" w:eastAsia="Times New Roman" w:cs="Verdana"/>
                    <w:color w:val="000000" w:themeColor="text1"/>
                    <w:sz w:val="22"/>
                    <w:szCs w:val="22"/>
                    <w:lang w:eastAsia="it-IT"/>
                    <w14:textFill>
                      <w14:solidFill>
                        <w14:schemeClr w14:val="tx1"/>
                      </w14:solidFill>
                    </w14:textFill>
                  </w:rPr>
                  <m:t>n=0</m:t>
                </m:r>
                <m:ctrlPr>
                  <w:rPr>
                    <w:rFonts w:ascii="Cambria Math" w:hAnsi="Cambria Math" w:eastAsia="Times New Roman" w:cs="Verdana"/>
                    <w:i/>
                    <w:color w:val="000000" w:themeColor="text1"/>
                    <w:sz w:val="22"/>
                    <w:szCs w:val="22"/>
                    <w:lang w:eastAsia="it-IT"/>
                    <w14:textFill>
                      <w14:solidFill>
                        <w14:schemeClr w14:val="tx1"/>
                      </w14:solidFill>
                    </w14:textFill>
                  </w:rPr>
                </m:ctrlPr>
              </m:sub>
              <m:sup>
                <m:r>
                  <m:rPr/>
                  <w:rPr>
                    <w:rFonts w:ascii="Cambria Math" w:hAnsi="Cambria Math" w:eastAsia="Times New Roman" w:cs="Verdana"/>
                    <w:color w:val="000000" w:themeColor="text1"/>
                    <w:sz w:val="22"/>
                    <w:szCs w:val="22"/>
                    <w:lang w:eastAsia="it-IT"/>
                    <w14:textFill>
                      <w14:solidFill>
                        <w14:schemeClr w14:val="tx1"/>
                      </w14:solidFill>
                    </w14:textFill>
                  </w:rPr>
                  <m:t>∞</m:t>
                </m:r>
                <m:ctrlPr>
                  <w:rPr>
                    <w:rFonts w:ascii="Cambria Math" w:hAnsi="Cambria Math" w:eastAsia="Times New Roman" w:cs="Verdana"/>
                    <w:i/>
                    <w:color w:val="000000" w:themeColor="text1"/>
                    <w:sz w:val="22"/>
                    <w:szCs w:val="22"/>
                    <w:lang w:eastAsia="it-IT"/>
                    <w14:textFill>
                      <w14:solidFill>
                        <w14:schemeClr w14:val="tx1"/>
                      </w14:solidFill>
                    </w14:textFill>
                  </w:rPr>
                </m:ctrlPr>
              </m:sup>
              <m:e>
                <m:r>
                  <m:rPr/>
                  <w:rPr>
                    <w:rFonts w:ascii="Cambria Math" w:hAnsi="Cambria Math" w:eastAsia="Times New Roman" w:cs="Verdana"/>
                    <w:color w:val="000000" w:themeColor="text1"/>
                    <w:sz w:val="22"/>
                    <w:szCs w:val="22"/>
                    <w:lang w:eastAsia="it-IT"/>
                    <w14:textFill>
                      <w14:solidFill>
                        <w14:schemeClr w14:val="tx1"/>
                      </w14:solidFill>
                    </w14:textFill>
                  </w:rPr>
                  <m:t xml:space="preserve">AL </m:t>
                </m:r>
                <m:d>
                  <m:dPr>
                    <m:ctrlPr>
                      <w:rPr>
                        <w:rFonts w:ascii="Cambria Math" w:hAnsi="Cambria Math" w:eastAsia="Times New Roman" w:cs="Verdana"/>
                        <w:i/>
                        <w:color w:val="000000" w:themeColor="text1"/>
                        <w:sz w:val="22"/>
                        <w:szCs w:val="22"/>
                        <w:lang w:eastAsia="it-IT"/>
                        <w14:textFill>
                          <w14:solidFill>
                            <w14:schemeClr w14:val="tx1"/>
                          </w14:solidFill>
                        </w14:textFill>
                      </w:rPr>
                    </m:ctrlPr>
                  </m:dPr>
                  <m:e>
                    <m:r>
                      <m:rPr/>
                      <w:rPr>
                        <w:rFonts w:ascii="Cambria Math" w:hAnsi="Cambria Math" w:eastAsia="Times New Roman" w:cs="Verdana"/>
                        <w:color w:val="000000" w:themeColor="text1"/>
                        <w:sz w:val="22"/>
                        <w:szCs w:val="22"/>
                        <w:lang w:eastAsia="it-IT"/>
                        <w14:textFill>
                          <w14:solidFill>
                            <w14:schemeClr w14:val="tx1"/>
                          </w14:solidFill>
                        </w14:textFill>
                      </w:rPr>
                      <m:t>n</m:t>
                    </m:r>
                    <m:ctrlPr>
                      <w:rPr>
                        <w:rFonts w:ascii="Cambria Math" w:hAnsi="Cambria Math" w:eastAsia="Times New Roman" w:cs="Verdana"/>
                        <w:i/>
                        <w:color w:val="000000" w:themeColor="text1"/>
                        <w:sz w:val="22"/>
                        <w:szCs w:val="22"/>
                        <w:lang w:eastAsia="it-IT"/>
                        <w14:textFill>
                          <w14:solidFill>
                            <w14:schemeClr w14:val="tx1"/>
                          </w14:solidFill>
                        </w14:textFill>
                      </w:rPr>
                    </m:ctrlPr>
                  </m:e>
                </m:d>
                <m:ctrlPr>
                  <w:rPr>
                    <w:rFonts w:ascii="Cambria Math" w:hAnsi="Cambria Math" w:eastAsia="Times New Roman" w:cs="Verdana"/>
                    <w:i/>
                    <w:color w:val="000000" w:themeColor="text1"/>
                    <w:sz w:val="22"/>
                    <w:szCs w:val="22"/>
                    <w:lang w:eastAsia="it-IT"/>
                    <w14:textFill>
                      <w14:solidFill>
                        <w14:schemeClr w14:val="tx1"/>
                      </w14:solidFill>
                    </w14:textFill>
                  </w:rPr>
                </m:ctrlPr>
              </m:e>
            </m:nary>
            <m:ctrlPr>
              <w:rPr>
                <w:rFonts w:ascii="Cambria Math" w:hAnsi="Cambria Math" w:eastAsia="Times New Roman" w:cs="Verdana"/>
                <w:i/>
                <w:color w:val="000000" w:themeColor="text1"/>
                <w:sz w:val="22"/>
                <w:szCs w:val="22"/>
                <w:lang w:eastAsia="it-IT"/>
                <w14:textFill>
                  <w14:solidFill>
                    <w14:schemeClr w14:val="tx1"/>
                  </w14:solidFill>
                </w14:textFill>
              </w:rPr>
            </m:ctrlPr>
          </m:e>
        </m:d>
        <m:r>
          <m:rPr/>
          <w:rPr>
            <w:rFonts w:ascii="Cambria Math" w:hAnsi="Cambria Math" w:eastAsia="Times New Roman" w:cs="Verdana"/>
            <w:color w:val="000000" w:themeColor="text1"/>
            <w:sz w:val="22"/>
            <w:szCs w:val="22"/>
            <w:lang w:eastAsia="it-IT"/>
            <w14:textFill>
              <w14:solidFill>
                <w14:schemeClr w14:val="tx1"/>
              </w14:solidFill>
            </w14:textFill>
          </w:rPr>
          <m:t xml:space="preserve"> </m:t>
        </m:r>
        <m:r>
          <m:rPr>
            <m:sty m:val="b"/>
          </m:rPr>
          <w:rPr>
            <w:rFonts w:ascii="Cambria Math" w:hAnsi="Cambria Math" w:eastAsia="Times New Roman" w:cs="Verdana"/>
            <w:color w:val="000000" w:themeColor="text1"/>
            <w:sz w:val="22"/>
            <w:szCs w:val="22"/>
            <w:lang w:eastAsia="it-IT"/>
            <w14:textFill>
              <w14:solidFill>
                <w14:schemeClr w14:val="tx1"/>
              </w14:solidFill>
            </w14:textFill>
          </w:rPr>
          <m:t>∘</m:t>
        </m:r>
        <m:d>
          <m:dPr>
            <m:begChr m:val="{"/>
            <m:endChr m:val=""/>
            <m:ctrlPr>
              <w:rPr>
                <w:rFonts w:ascii="Cambria Math" w:hAnsi="Cambria Math" w:eastAsia="Times New Roman" w:cs="Verdana"/>
                <w:i/>
                <w:color w:val="000000" w:themeColor="text1"/>
                <w:sz w:val="22"/>
                <w:szCs w:val="22"/>
                <w:lang w:eastAsia="it-IT"/>
                <w14:textFill>
                  <w14:solidFill>
                    <w14:schemeClr w14:val="tx1"/>
                  </w14:solidFill>
                </w14:textFill>
              </w:rPr>
            </m:ctrlPr>
          </m:dPr>
          <m:e>
            <m:r>
              <m:rPr/>
              <w:rPr>
                <w:rFonts w:ascii="Cambria Math" w:hAnsi="Cambria Math" w:eastAsia="Times New Roman" w:cs="Verdana"/>
                <w:color w:val="000000" w:themeColor="text1"/>
                <w:sz w:val="22"/>
                <w:szCs w:val="22"/>
                <w:lang w:eastAsia="it-IT"/>
                <w14:textFill>
                  <w14:solidFill>
                    <w14:schemeClr w14:val="tx1"/>
                  </w14:solidFill>
                </w14:textFill>
              </w:rPr>
              <m:t>AL≈0=&gt;</m:t>
            </m:r>
            <m:nary>
              <m:naryPr>
                <m:chr m:val="∑"/>
                <m:limLoc m:val="undOvr"/>
                <m:ctrlPr>
                  <w:rPr>
                    <w:rFonts w:ascii="Cambria Math" w:hAnsi="Cambria Math" w:eastAsia="Times New Roman" w:cs="Verdana"/>
                    <w:i/>
                    <w:color w:val="000000" w:themeColor="text1"/>
                    <w:sz w:val="22"/>
                    <w:szCs w:val="22"/>
                    <w:lang w:eastAsia="it-IT"/>
                    <w14:textFill>
                      <w14:solidFill>
                        <w14:schemeClr w14:val="tx1"/>
                      </w14:solidFill>
                    </w14:textFill>
                  </w:rPr>
                </m:ctrlPr>
              </m:naryPr>
              <m:sub>
                <m:r>
                  <m:rPr/>
                  <w:rPr>
                    <w:rFonts w:ascii="Cambria Math" w:hAnsi="Cambria Math" w:eastAsia="Times New Roman" w:cs="Verdana"/>
                    <w:color w:val="000000" w:themeColor="text1"/>
                    <w:sz w:val="22"/>
                    <w:szCs w:val="22"/>
                    <w:lang w:eastAsia="it-IT"/>
                    <w14:textFill>
                      <w14:solidFill>
                        <w14:schemeClr w14:val="tx1"/>
                      </w14:solidFill>
                    </w14:textFill>
                  </w:rPr>
                  <m:t>n=0</m:t>
                </m:r>
                <m:ctrlPr>
                  <w:rPr>
                    <w:rFonts w:ascii="Cambria Math" w:hAnsi="Cambria Math" w:eastAsia="Times New Roman" w:cs="Verdana"/>
                    <w:i/>
                    <w:color w:val="000000" w:themeColor="text1"/>
                    <w:sz w:val="22"/>
                    <w:szCs w:val="22"/>
                    <w:lang w:eastAsia="it-IT"/>
                    <w14:textFill>
                      <w14:solidFill>
                        <w14:schemeClr w14:val="tx1"/>
                      </w14:solidFill>
                    </w14:textFill>
                  </w:rPr>
                </m:ctrlPr>
              </m:sub>
              <m:sup>
                <m:r>
                  <m:rPr/>
                  <w:rPr>
                    <w:rFonts w:ascii="Cambria Math" w:hAnsi="Cambria Math" w:eastAsia="Times New Roman" w:cs="Verdana"/>
                    <w:color w:val="000000" w:themeColor="text1"/>
                    <w:sz w:val="22"/>
                    <w:szCs w:val="22"/>
                    <w:lang w:eastAsia="it-IT"/>
                    <w14:textFill>
                      <w14:solidFill>
                        <w14:schemeClr w14:val="tx1"/>
                      </w14:solidFill>
                    </w14:textFill>
                  </w:rPr>
                  <m:t>∞</m:t>
                </m:r>
                <m:ctrlPr>
                  <w:rPr>
                    <w:rFonts w:ascii="Cambria Math" w:hAnsi="Cambria Math" w:eastAsia="Times New Roman" w:cs="Verdana"/>
                    <w:i/>
                    <w:color w:val="000000" w:themeColor="text1"/>
                    <w:sz w:val="22"/>
                    <w:szCs w:val="22"/>
                    <w:lang w:eastAsia="it-IT"/>
                    <w14:textFill>
                      <w14:solidFill>
                        <w14:schemeClr w14:val="tx1"/>
                      </w14:solidFill>
                    </w14:textFill>
                  </w:rPr>
                </m:ctrlPr>
              </m:sup>
              <m:e>
                <m:r>
                  <m:rPr/>
                  <w:rPr>
                    <w:rFonts w:ascii="Cambria Math" w:hAnsi="Cambria Math" w:eastAsia="Times New Roman" w:cs="Verdana"/>
                    <w:color w:val="000000" w:themeColor="text1"/>
                    <w:sz w:val="22"/>
                    <w:szCs w:val="22"/>
                    <w:lang w:eastAsia="it-IT"/>
                    <w14:textFill>
                      <w14:solidFill>
                        <w14:schemeClr w14:val="tx1"/>
                      </w14:solidFill>
                    </w14:textFill>
                  </w:rPr>
                  <m:t xml:space="preserve">AI </m:t>
                </m:r>
                <m:d>
                  <m:dPr>
                    <m:ctrlPr>
                      <w:rPr>
                        <w:rFonts w:ascii="Cambria Math" w:hAnsi="Cambria Math" w:eastAsia="Times New Roman" w:cs="Verdana"/>
                        <w:i/>
                        <w:color w:val="000000" w:themeColor="text1"/>
                        <w:sz w:val="22"/>
                        <w:szCs w:val="22"/>
                        <w:lang w:eastAsia="it-IT"/>
                        <w14:textFill>
                          <w14:solidFill>
                            <w14:schemeClr w14:val="tx1"/>
                          </w14:solidFill>
                        </w14:textFill>
                      </w:rPr>
                    </m:ctrlPr>
                  </m:dPr>
                  <m:e>
                    <m:r>
                      <m:rPr/>
                      <w:rPr>
                        <w:rFonts w:ascii="Cambria Math" w:hAnsi="Cambria Math" w:eastAsia="Times New Roman" w:cs="Verdana"/>
                        <w:color w:val="000000" w:themeColor="text1"/>
                        <w:sz w:val="22"/>
                        <w:szCs w:val="22"/>
                        <w:lang w:eastAsia="it-IT"/>
                        <w14:textFill>
                          <w14:solidFill>
                            <w14:schemeClr w14:val="tx1"/>
                          </w14:solidFill>
                        </w14:textFill>
                      </w:rPr>
                      <m:t>n</m:t>
                    </m:r>
                    <m:ctrlPr>
                      <w:rPr>
                        <w:rFonts w:ascii="Cambria Math" w:hAnsi="Cambria Math" w:eastAsia="Times New Roman" w:cs="Verdana"/>
                        <w:i/>
                        <w:color w:val="000000" w:themeColor="text1"/>
                        <w:sz w:val="22"/>
                        <w:szCs w:val="22"/>
                        <w:lang w:eastAsia="it-IT"/>
                        <w14:textFill>
                          <w14:solidFill>
                            <w14:schemeClr w14:val="tx1"/>
                          </w14:solidFill>
                        </w14:textFill>
                      </w:rPr>
                    </m:ctrlPr>
                  </m:e>
                </m:d>
                <m:ctrlPr>
                  <w:rPr>
                    <w:rFonts w:ascii="Cambria Math" w:hAnsi="Cambria Math" w:eastAsia="Times New Roman" w:cs="Verdana"/>
                    <w:i/>
                    <w:color w:val="000000" w:themeColor="text1"/>
                    <w:sz w:val="22"/>
                    <w:szCs w:val="22"/>
                    <w:lang w:eastAsia="it-IT"/>
                    <w14:textFill>
                      <w14:solidFill>
                        <w14:schemeClr w14:val="tx1"/>
                      </w14:solidFill>
                    </w14:textFill>
                  </w:rPr>
                </m:ctrlPr>
              </m:e>
            </m:nary>
            <m:ctrlPr>
              <w:rPr>
                <w:rFonts w:ascii="Cambria Math" w:hAnsi="Cambria Math" w:eastAsia="Times New Roman" w:cs="Verdana"/>
                <w:i/>
                <w:color w:val="000000" w:themeColor="text1"/>
                <w:sz w:val="22"/>
                <w:szCs w:val="22"/>
                <w:lang w:eastAsia="it-IT"/>
                <w14:textFill>
                  <w14:solidFill>
                    <w14:schemeClr w14:val="tx1"/>
                  </w14:solidFill>
                </w14:textFill>
              </w:rPr>
            </m:ctrlPr>
          </m:e>
        </m:d>
      </m:oMath>
      <w:r>
        <w:rPr>
          <w:rFonts w:ascii="Verdana" w:hAnsi="Verdana" w:eastAsia="Times New Roman" w:cs="Verdana"/>
          <w:color w:val="000000" w:themeColor="text1"/>
          <w:sz w:val="22"/>
          <w:szCs w:val="22"/>
          <w:lang w:eastAsia="it-IT"/>
          <w14:textFill>
            <w14:solidFill>
              <w14:schemeClr w14:val="tx1"/>
            </w14:solidFill>
          </w14:textFill>
        </w:rPr>
        <w:t>}</w:t>
      </w:r>
    </w:p>
    <w:p>
      <w:pPr>
        <w:jc w:val="both"/>
        <w:rPr>
          <w:rFonts w:ascii="Verdana" w:hAnsi="Verdana" w:cs="Verdana"/>
          <w:sz w:val="22"/>
          <w:szCs w:val="22"/>
        </w:rPr>
      </w:pPr>
      <w:r>
        <w:rPr>
          <w:rFonts w:ascii="Verdana" w:hAnsi="Verdana" w:cs="Verdana"/>
          <w:sz w:val="22"/>
          <w:szCs w:val="22"/>
        </w:rPr>
        <w:t xml:space="preserve"> = ∑i(</w:t>
      </w:r>
      <w:r>
        <w:rPr>
          <w:rFonts w:ascii="Verdana" w:hAnsi="Verdana" w:cs="Verdana"/>
          <w:i/>
          <w:sz w:val="22"/>
          <w:szCs w:val="22"/>
        </w:rPr>
        <w:t>n</w:t>
      </w:r>
      <w:r>
        <w:rPr>
          <w:rFonts w:ascii="Verdana" w:hAnsi="Verdana" w:cs="Verdana"/>
          <w:sz w:val="22"/>
          <w:szCs w:val="22"/>
        </w:rPr>
        <w:t>)</w:t>
      </w:r>
    </w:p>
    <w:p>
      <w:pPr>
        <w:jc w:val="both"/>
        <w:rPr>
          <w:rFonts w:ascii="Verdana" w:hAnsi="Verdana" w:cs="Verdana"/>
          <w:sz w:val="22"/>
          <w:szCs w:val="22"/>
        </w:rPr>
      </w:pPr>
    </w:p>
    <w:p>
      <w:pPr>
        <w:jc w:val="both"/>
        <w:rPr>
          <w:rFonts w:ascii="Verdana" w:hAnsi="Verdana" w:cs="Verdana"/>
          <w:sz w:val="22"/>
          <w:szCs w:val="22"/>
        </w:rPr>
      </w:pPr>
      <w:r>
        <w:rPr>
          <w:rFonts w:ascii="Verdana" w:hAnsi="Verdana" w:cs="Verdana"/>
          <w:sz w:val="22"/>
          <w:szCs w:val="22"/>
        </w:rPr>
        <w:t>Pertanto:</w:t>
      </w:r>
    </w:p>
    <w:p>
      <w:pPr>
        <w:jc w:val="both"/>
        <w:rPr>
          <w:rFonts w:ascii="Verdana" w:hAnsi="Verdana" w:cs="Verdana"/>
          <w:sz w:val="22"/>
          <w:szCs w:val="22"/>
        </w:rPr>
      </w:pPr>
      <w:r>
        <w:rPr>
          <w:rFonts w:ascii="Verdana" w:hAnsi="Verdana" w:cs="Verdana"/>
          <w:b/>
          <w:sz w:val="22"/>
          <w:szCs w:val="22"/>
          <w:lang w:eastAsia="it-IT" w:bidi="ar-SA"/>
        </w:rPr>
        <mc:AlternateContent>
          <mc:Choice Requires="wps">
            <w:drawing>
              <wp:anchor distT="0" distB="0" distL="114300" distR="114300" simplePos="0" relativeHeight="251662336" behindDoc="0" locked="0" layoutInCell="1" allowOverlap="1">
                <wp:simplePos x="0" y="0"/>
                <wp:positionH relativeFrom="column">
                  <wp:posOffset>2289810</wp:posOffset>
                </wp:positionH>
                <wp:positionV relativeFrom="paragraph">
                  <wp:posOffset>53975</wp:posOffset>
                </wp:positionV>
                <wp:extent cx="1676400" cy="400050"/>
                <wp:effectExtent l="6350" t="6350" r="12700" b="12700"/>
                <wp:wrapNone/>
                <wp:docPr id="14" name="Rettangolo 14"/>
                <wp:cNvGraphicFramePr/>
                <a:graphic xmlns:a="http://schemas.openxmlformats.org/drawingml/2006/main">
                  <a:graphicData uri="http://schemas.microsoft.com/office/word/2010/wordprocessingShape">
                    <wps:wsp>
                      <wps:cNvSpPr/>
                      <wps:spPr>
                        <a:xfrm>
                          <a:off x="0" y="0"/>
                          <a:ext cx="1676400" cy="400050"/>
                        </a:xfrm>
                        <a:prstGeom prst="rect">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ttangolo 14" o:spid="_x0000_s1026" o:spt="1" style="position:absolute;left:0pt;margin-left:180.3pt;margin-top:4.25pt;height:31.5pt;width:132pt;z-index:251662336;v-text-anchor:middle;mso-width-relative:page;mso-height-relative:page;" filled="f" stroked="t" coordsize="21600,21600" o:gfxdata="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PmjjH3VAAAA&#10;CAEAAA8AAAAAAAAAAQAgAAAAIgAAAGRycy9kb3ducmV2LnhtbFBLAQIUABQAAAAIAIdO4kADEhCh&#10;WQIAAMgEAAAOAAAAAAAAAAEAIAAAACQBAABkcnMvZTJvRG9jLnhtbFBLBQYAAAAABgAGAFkBAADv&#10;BQAAAAA=&#10;">
                <v:fill on="f" focussize="0,0"/>
                <v:stroke weight="1pt" color="#FF0000" joinstyle="round"/>
                <v:imagedata o:title=""/>
                <o:lock v:ext="edit" aspectratio="f"/>
              </v:rect>
            </w:pict>
          </mc:Fallback>
        </mc:AlternateContent>
      </w:r>
    </w:p>
    <w:p>
      <w:pPr>
        <w:jc w:val="center"/>
        <w:rPr>
          <w:rFonts w:ascii="Verdana" w:hAnsi="Verdana" w:cs="Verdana"/>
          <w:b/>
          <w:sz w:val="22"/>
          <w:szCs w:val="22"/>
        </w:rPr>
      </w:pPr>
      <w:r>
        <w:rPr>
          <w:rFonts w:ascii="Verdana" w:hAnsi="Verdana" w:cs="Verdana"/>
          <w:b/>
          <w:sz w:val="22"/>
          <w:szCs w:val="22"/>
        </w:rPr>
        <w:t>IP = ∑i(</w:t>
      </w:r>
      <w:r>
        <w:rPr>
          <w:rFonts w:ascii="Verdana" w:hAnsi="Verdana" w:cs="Verdana"/>
          <w:b/>
          <w:i/>
          <w:sz w:val="22"/>
          <w:szCs w:val="22"/>
        </w:rPr>
        <w:t>n</w:t>
      </w:r>
      <w:r>
        <w:rPr>
          <w:rFonts w:ascii="Verdana" w:hAnsi="Verdana" w:cs="Verdana"/>
          <w:b/>
          <w:sz w:val="22"/>
          <w:szCs w:val="22"/>
        </w:rPr>
        <w:t>)</w:t>
      </w:r>
    </w:p>
    <w:p>
      <w:pPr>
        <w:jc w:val="both"/>
        <w:rPr>
          <w:rFonts w:ascii="Verdana" w:hAnsi="Verdana" w:cs="Verdana"/>
          <w:sz w:val="22"/>
          <w:szCs w:val="22"/>
        </w:rPr>
      </w:pPr>
    </w:p>
    <w:p>
      <w:pPr>
        <w:jc w:val="both"/>
        <w:rPr>
          <w:rFonts w:ascii="Verdana" w:hAnsi="Verdana" w:eastAsia="Times New Roman" w:cs="Verdana"/>
          <w:color w:val="000000" w:themeColor="text1"/>
          <w:sz w:val="22"/>
          <w:szCs w:val="22"/>
          <w:lang w:eastAsia="it-IT"/>
          <w14:textFill>
            <w14:solidFill>
              <w14:schemeClr w14:val="tx1"/>
            </w14:solidFill>
          </w14:textFill>
        </w:rPr>
      </w:pPr>
    </w:p>
    <w:p>
      <w:pPr>
        <w:jc w:val="both"/>
        <w:rPr>
          <w:rFonts w:ascii="Verdana" w:hAnsi="Verdana" w:eastAsia="Times New Roman" w:cs="Verdana"/>
          <w:color w:val="000000" w:themeColor="text1"/>
          <w:sz w:val="22"/>
          <w:szCs w:val="22"/>
          <w:lang w:eastAsia="it-IT"/>
          <w14:textFill>
            <w14:solidFill>
              <w14:schemeClr w14:val="tx1"/>
            </w14:solidFill>
          </w14:textFill>
        </w:rPr>
      </w:pPr>
    </w:p>
    <w:p>
      <w:pPr>
        <w:pStyle w:val="2"/>
        <w:numPr>
          <w:ilvl w:val="1"/>
          <w:numId w:val="3"/>
        </w:numPr>
        <w:spacing w:line="240" w:lineRule="auto"/>
        <w:jc w:val="both"/>
        <w:rPr>
          <w:rFonts w:ascii="Verdana" w:hAnsi="Verdana" w:cs="Verdana"/>
          <w:color w:val="000000" w:themeColor="text1"/>
          <w:sz w:val="22"/>
          <w:szCs w:val="22"/>
          <w14:textFill>
            <w14:solidFill>
              <w14:schemeClr w14:val="tx1"/>
            </w14:solidFill>
          </w14:textFill>
        </w:rPr>
      </w:pPr>
      <w:bookmarkStart w:id="8" w:name="_Ref522188564"/>
      <w:r>
        <w:rPr>
          <w:rFonts w:ascii="Verdana" w:hAnsi="Verdana" w:cs="Verdana"/>
          <w:color w:val="000000" w:themeColor="text1"/>
          <w:sz w:val="22"/>
          <w:szCs w:val="22"/>
          <w14:textFill>
            <w14:solidFill>
              <w14:schemeClr w14:val="tx1"/>
            </w14:solidFill>
          </w14:textFill>
        </w:rPr>
        <w:t>Applicazione su sentenz</w:t>
      </w:r>
      <w:bookmarkEnd w:id="8"/>
      <w:r>
        <w:rPr>
          <w:rFonts w:ascii="Verdana" w:hAnsi="Verdana" w:cs="Verdana"/>
          <w:color w:val="000000" w:themeColor="text1"/>
          <w:sz w:val="22"/>
          <w:szCs w:val="22"/>
          <w14:textFill>
            <w14:solidFill>
              <w14:schemeClr w14:val="tx1"/>
            </w14:solidFill>
          </w14:textFill>
        </w:rPr>
        <w:t>a nomofilattica</w:t>
      </w:r>
    </w:p>
    <w:p>
      <w:pPr>
        <w:jc w:val="both"/>
        <w:rPr>
          <w:rFonts w:ascii="Verdana" w:hAnsi="Verdana" w:eastAsia="Times New Roman" w:cs="Verdana"/>
          <w:color w:val="000000" w:themeColor="text1"/>
          <w:sz w:val="22"/>
          <w:szCs w:val="22"/>
          <w:lang w:eastAsia="it-IT"/>
          <w14:textFill>
            <w14:solidFill>
              <w14:schemeClr w14:val="tx1"/>
            </w14:solidFill>
          </w14:textFill>
        </w:rPr>
      </w:pPr>
    </w:p>
    <w:p>
      <w:p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Verifichiamo se la formula appena esposta, quando utilizzata, permette di pervenire allo stesso risultato cui perviene la giurisprudenza nomofilattica a parità di caso ed argomenti.</w:t>
      </w:r>
    </w:p>
    <w:p>
      <w:pPr>
        <w:jc w:val="both"/>
        <w:rPr>
          <w:rFonts w:ascii="Verdana" w:hAnsi="Verdana" w:eastAsia="Times New Roman" w:cs="Verdana"/>
          <w:i/>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Si è posta la seguente questione all’attenzione delle Sezioni Unite, risolta con la pronuncia n. 15350/2015</w:t>
      </w:r>
      <w:r>
        <w:rPr>
          <w:rStyle w:val="13"/>
          <w:rFonts w:ascii="Verdana" w:hAnsi="Verdana" w:eastAsia="Times New Roman" w:cs="Verdana"/>
          <w:color w:val="000000" w:themeColor="text1"/>
          <w:sz w:val="22"/>
          <w:szCs w:val="22"/>
          <w:lang w:eastAsia="it-IT"/>
          <w14:textFill>
            <w14:solidFill>
              <w14:schemeClr w14:val="tx1"/>
            </w14:solidFill>
          </w14:textFill>
        </w:rPr>
        <w:footnoteReference w:id="45"/>
      </w:r>
      <w:r>
        <w:rPr>
          <w:rFonts w:ascii="Verdana" w:hAnsi="Verdana" w:eastAsia="Times New Roman" w:cs="Verdana"/>
          <w:color w:val="000000" w:themeColor="text1"/>
          <w:sz w:val="22"/>
          <w:szCs w:val="22"/>
          <w:lang w:eastAsia="it-IT"/>
          <w14:textFill>
            <w14:solidFill>
              <w14:schemeClr w14:val="tx1"/>
            </w14:solidFill>
          </w14:textFill>
        </w:rPr>
        <w:t xml:space="preserve">: </w:t>
      </w:r>
      <w:r>
        <w:rPr>
          <w:rFonts w:ascii="Verdana" w:hAnsi="Verdana" w:eastAsia="Times New Roman" w:cs="Verdana"/>
          <w:i/>
          <w:color w:val="000000" w:themeColor="text1"/>
          <w:sz w:val="22"/>
          <w:szCs w:val="22"/>
          <w:lang w:eastAsia="it-IT"/>
          <w14:textFill>
            <w14:solidFill>
              <w14:schemeClr w14:val="tx1"/>
            </w14:solidFill>
          </w14:textFill>
        </w:rPr>
        <w:t>è risarcibile il c.d. danno tanatologico (danno da morte immediata)?</w:t>
      </w:r>
    </w:p>
    <w:p>
      <w:p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Le varie interpretazioni possibili, in particolare AI, depongono contemporaneamente in sensi opposti (⋂), con la conseguenza di dover utilizzare i simboli + e – (più e meno).</w:t>
      </w:r>
    </w:p>
    <w:p>
      <w:p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La tesi positiva si reggeva sui seguenti argomenti:</w:t>
      </w:r>
    </w:p>
    <w:p>
      <w:pPr>
        <w:pStyle w:val="49"/>
        <w:numPr>
          <w:ilvl w:val="0"/>
          <w:numId w:val="18"/>
        </w:num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 xml:space="preserve">la morte immediata non esiste per la scienza medica, con la conseguenza che sussiste sempre un </w:t>
      </w:r>
      <w:r>
        <w:rPr>
          <w:rFonts w:ascii="Verdana" w:hAnsi="Verdana" w:eastAsia="Times New Roman" w:cs="Verdana"/>
          <w:i/>
          <w:color w:val="000000" w:themeColor="text1"/>
          <w:sz w:val="22"/>
          <w:szCs w:val="22"/>
          <w:lang w:eastAsia="it-IT"/>
          <w14:textFill>
            <w14:solidFill>
              <w14:schemeClr w14:val="tx1"/>
            </w14:solidFill>
          </w14:textFill>
        </w:rPr>
        <w:t>minimum</w:t>
      </w:r>
      <w:r>
        <w:rPr>
          <w:rFonts w:ascii="Verdana" w:hAnsi="Verdana" w:eastAsia="Times New Roman" w:cs="Verdana"/>
          <w:color w:val="000000" w:themeColor="text1"/>
          <w:sz w:val="22"/>
          <w:szCs w:val="22"/>
          <w:lang w:eastAsia="it-IT"/>
          <w14:textFill>
            <w14:solidFill>
              <w14:schemeClr w14:val="tx1"/>
            </w14:solidFill>
          </w14:textFill>
        </w:rPr>
        <w:t xml:space="preserve"> di </w:t>
      </w:r>
      <w:r>
        <w:rPr>
          <w:rFonts w:ascii="Verdana" w:hAnsi="Verdana" w:eastAsia="Times New Roman" w:cs="Verdana"/>
          <w:i/>
          <w:color w:val="000000" w:themeColor="text1"/>
          <w:sz w:val="22"/>
          <w:szCs w:val="22"/>
          <w:lang w:eastAsia="it-IT"/>
          <w14:textFill>
            <w14:solidFill>
              <w14:schemeClr w14:val="tx1"/>
            </w14:solidFill>
          </w14:textFill>
        </w:rPr>
        <w:t>spatium vivendi</w:t>
      </w:r>
      <w:r>
        <w:rPr>
          <w:rFonts w:ascii="Verdana" w:hAnsi="Verdana" w:eastAsia="Times New Roman" w:cs="Verdana"/>
          <w:color w:val="000000" w:themeColor="text1"/>
          <w:sz w:val="22"/>
          <w:szCs w:val="22"/>
          <w:lang w:eastAsia="it-IT"/>
          <w14:textFill>
            <w14:solidFill>
              <w14:schemeClr w14:val="tx1"/>
            </w14:solidFill>
          </w14:textFill>
        </w:rPr>
        <w:t xml:space="preserve"> tra lesione e morte, tale da far sorgere in capo alla vittima principale un’autonoma pretesa risarcitoria, suscettibile di trasmissione </w:t>
      </w:r>
      <w:r>
        <w:rPr>
          <w:rFonts w:ascii="Verdana" w:hAnsi="Verdana" w:eastAsia="Times New Roman" w:cs="Verdana"/>
          <w:i/>
          <w:color w:val="000000" w:themeColor="text1"/>
          <w:sz w:val="22"/>
          <w:szCs w:val="22"/>
          <w:lang w:eastAsia="it-IT"/>
          <w14:textFill>
            <w14:solidFill>
              <w14:schemeClr w14:val="tx1"/>
            </w14:solidFill>
          </w14:textFill>
        </w:rPr>
        <w:t>iure successionis</w:t>
      </w:r>
      <w:r>
        <w:rPr>
          <w:rFonts w:ascii="Verdana" w:hAnsi="Verdana" w:eastAsia="Times New Roman" w:cs="Verdana"/>
          <w:color w:val="000000" w:themeColor="text1"/>
          <w:sz w:val="22"/>
          <w:szCs w:val="22"/>
          <w:lang w:eastAsia="it-IT"/>
          <w14:textFill>
            <w14:solidFill>
              <w14:schemeClr w14:val="tx1"/>
            </w14:solidFill>
          </w14:textFill>
        </w:rPr>
        <w:t xml:space="preserve"> (AI.1);</w:t>
      </w:r>
    </w:p>
    <w:p>
      <w:pPr>
        <w:pStyle w:val="49"/>
        <w:numPr>
          <w:ilvl w:val="0"/>
          <w:numId w:val="18"/>
        </w:num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opinando in modo diverso, si raggiungerebbe l’</w:t>
      </w:r>
      <w:r>
        <w:rPr>
          <w:rFonts w:ascii="Verdana" w:hAnsi="Verdana" w:eastAsia="Times New Roman" w:cs="Verdana"/>
          <w:i/>
          <w:color w:val="000000" w:themeColor="text1"/>
          <w:sz w:val="22"/>
          <w:szCs w:val="22"/>
          <w:lang w:eastAsia="it-IT"/>
          <w14:textFill>
            <w14:solidFill>
              <w14:schemeClr w14:val="tx1"/>
            </w14:solidFill>
          </w14:textFill>
        </w:rPr>
        <w:t>absurdum</w:t>
      </w:r>
      <w:r>
        <w:rPr>
          <w:rFonts w:ascii="Verdana" w:hAnsi="Verdana" w:eastAsia="Times New Roman" w:cs="Verdana"/>
          <w:color w:val="000000" w:themeColor="text1"/>
          <w:sz w:val="22"/>
          <w:szCs w:val="22"/>
          <w:lang w:eastAsia="it-IT"/>
          <w14:textFill>
            <w14:solidFill>
              <w14:schemeClr w14:val="tx1"/>
            </w14:solidFill>
          </w14:textFill>
        </w:rPr>
        <w:t xml:space="preserve"> per cui uccidere sarebbe economicamente più conveniente che ferire perché nel secondo caso sorgerebbero i crediti </w:t>
      </w:r>
      <w:r>
        <w:rPr>
          <w:rFonts w:ascii="Verdana" w:hAnsi="Verdana" w:eastAsia="Times New Roman" w:cs="Verdana"/>
          <w:i/>
          <w:color w:val="000000" w:themeColor="text1"/>
          <w:sz w:val="22"/>
          <w:szCs w:val="22"/>
          <w:lang w:eastAsia="it-IT"/>
          <w14:textFill>
            <w14:solidFill>
              <w14:schemeClr w14:val="tx1"/>
            </w14:solidFill>
          </w14:textFill>
        </w:rPr>
        <w:t>iure successionis</w:t>
      </w:r>
      <w:r>
        <w:rPr>
          <w:rFonts w:ascii="Verdana" w:hAnsi="Verdana" w:eastAsia="Times New Roman" w:cs="Verdana"/>
          <w:color w:val="000000" w:themeColor="text1"/>
          <w:sz w:val="22"/>
          <w:szCs w:val="22"/>
          <w:lang w:eastAsia="it-IT"/>
          <w14:textFill>
            <w14:solidFill>
              <w14:schemeClr w14:val="tx1"/>
            </w14:solidFill>
          </w14:textFill>
        </w:rPr>
        <w:t>, diversamente dal primo caso (AI.2</w:t>
      </w:r>
      <w:r>
        <w:rPr>
          <w:rStyle w:val="13"/>
          <w:rFonts w:ascii="Verdana" w:hAnsi="Verdana" w:eastAsia="Times New Roman" w:cs="Verdana"/>
          <w:color w:val="000000" w:themeColor="text1"/>
          <w:sz w:val="22"/>
          <w:szCs w:val="22"/>
          <w:lang w:eastAsia="it-IT"/>
          <w14:textFill>
            <w14:solidFill>
              <w14:schemeClr w14:val="tx1"/>
            </w14:solidFill>
          </w14:textFill>
        </w:rPr>
        <w:footnoteReference w:id="46"/>
      </w:r>
      <w:r>
        <w:rPr>
          <w:rFonts w:ascii="Verdana" w:hAnsi="Verdana" w:eastAsia="Times New Roman" w:cs="Verdana"/>
          <w:color w:val="000000" w:themeColor="text1"/>
          <w:sz w:val="22"/>
          <w:szCs w:val="22"/>
          <w:lang w:eastAsia="it-IT"/>
          <w14:textFill>
            <w14:solidFill>
              <w14:schemeClr w14:val="tx1"/>
            </w14:solidFill>
          </w14:textFill>
        </w:rPr>
        <w:t>);</w:t>
      </w:r>
    </w:p>
    <w:p>
      <w:pPr>
        <w:pStyle w:val="49"/>
        <w:numPr>
          <w:ilvl w:val="0"/>
          <w:numId w:val="18"/>
        </w:num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eccezionalmente sarebbe possibile attribuire rilevanza al c.d. danno-evento in deroga all’art. 1223 c.c. (AI.3).</w:t>
      </w:r>
    </w:p>
    <w:p>
      <w:p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La tesi negativa si reggeva sui seguenti argomenti (il segno meno indica interpretazioni neutralizzanti):</w:t>
      </w:r>
    </w:p>
    <w:p>
      <w:pPr>
        <w:pStyle w:val="49"/>
        <w:numPr>
          <w:ilvl w:val="0"/>
          <w:numId w:val="18"/>
        </w:num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la morte immediata esiste e lede il bene vita, che è diverso dal bene salute; se si ammettesse il risarcimento, allora si finirebbe per far confluire il bene vita in quello salute, così trattando in modo uguale situazioni giuridiche diseguali, vulnerando l’art. 3 Cost. (-AI.1);</w:t>
      </w:r>
    </w:p>
    <w:p>
      <w:pPr>
        <w:pStyle w:val="49"/>
        <w:numPr>
          <w:ilvl w:val="0"/>
          <w:numId w:val="18"/>
        </w:num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il danno da morte immediata, ledendo il bene giuridico della vita, è impermeabile all’integrazione per equivalente, diversamente dal bene salute (AI.4);</w:t>
      </w:r>
    </w:p>
    <w:p>
      <w:pPr>
        <w:pStyle w:val="49"/>
        <w:numPr>
          <w:ilvl w:val="0"/>
          <w:numId w:val="18"/>
        </w:num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 xml:space="preserve">non è un </w:t>
      </w:r>
      <w:r>
        <w:rPr>
          <w:rFonts w:ascii="Verdana" w:hAnsi="Verdana" w:eastAsia="Times New Roman" w:cs="Verdana"/>
          <w:i/>
          <w:iCs/>
          <w:color w:val="000000" w:themeColor="text1"/>
          <w:sz w:val="22"/>
          <w:szCs w:val="22"/>
          <w:lang w:eastAsia="it-IT"/>
          <w14:textFill>
            <w14:solidFill>
              <w14:schemeClr w14:val="tx1"/>
            </w14:solidFill>
          </w14:textFill>
        </w:rPr>
        <w:t>absurdum</w:t>
      </w:r>
      <w:r>
        <w:rPr>
          <w:rFonts w:ascii="Verdana" w:hAnsi="Verdana" w:eastAsia="Times New Roman" w:cs="Verdana"/>
          <w:color w:val="000000" w:themeColor="text1"/>
          <w:sz w:val="22"/>
          <w:szCs w:val="22"/>
          <w:lang w:eastAsia="it-IT"/>
          <w14:textFill>
            <w14:solidFill>
              <w14:schemeClr w14:val="tx1"/>
            </w14:solidFill>
          </w14:textFill>
        </w:rPr>
        <w:t xml:space="preserve"> quantificare maggiormente il danno da lesione rispetto a quello da uccisione perché, in concreto, nel secondo caso sul danneggiante grava una sanzione maggiore in virtù dell’operatività del diritto penale che commina una pena maggiore (-AI.2);</w:t>
      </w:r>
    </w:p>
    <w:p>
      <w:pPr>
        <w:pStyle w:val="49"/>
        <w:numPr>
          <w:ilvl w:val="0"/>
          <w:numId w:val="18"/>
        </w:num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 xml:space="preserve">non è possibile attribuire rilevanza al solo danno-evento perché non è eccezione ammissibile in difetto di espressa previsione di legge, rispetto al </w:t>
      </w:r>
      <w:r>
        <w:rPr>
          <w:rFonts w:ascii="Verdana" w:hAnsi="Verdana" w:eastAsia="Times New Roman" w:cs="Verdana"/>
          <w:i/>
          <w:color w:val="000000" w:themeColor="text1"/>
          <w:sz w:val="22"/>
          <w:szCs w:val="22"/>
          <w:lang w:eastAsia="it-IT"/>
          <w14:textFill>
            <w14:solidFill>
              <w14:schemeClr w14:val="tx1"/>
            </w14:solidFill>
          </w14:textFill>
        </w:rPr>
        <w:t xml:space="preserve">dictum </w:t>
      </w:r>
      <w:r>
        <w:rPr>
          <w:rFonts w:ascii="Verdana" w:hAnsi="Verdana" w:eastAsia="Times New Roman" w:cs="Verdana"/>
          <w:color w:val="000000" w:themeColor="text1"/>
          <w:sz w:val="22"/>
          <w:szCs w:val="22"/>
          <w:lang w:eastAsia="it-IT"/>
          <w14:textFill>
            <w14:solidFill>
              <w14:schemeClr w14:val="tx1"/>
            </w14:solidFill>
          </w14:textFill>
        </w:rPr>
        <w:t>letterale dell’art. 1223 c.c. (–AI.3).</w:t>
      </w:r>
    </w:p>
    <w:p>
      <w:p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Abbiamo fissato la seguente formula per l’interpretazione giuridica:</w:t>
      </w:r>
    </w:p>
    <w:p>
      <w:p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IP = ∑i(</w:t>
      </w:r>
      <w:r>
        <w:rPr>
          <w:rFonts w:ascii="Verdana" w:hAnsi="Verdana" w:eastAsia="Times New Roman" w:cs="Verdana"/>
          <w:i/>
          <w:color w:val="000000" w:themeColor="text1"/>
          <w:sz w:val="22"/>
          <w:szCs w:val="22"/>
          <w:lang w:eastAsia="it-IT"/>
          <w14:textFill>
            <w14:solidFill>
              <w14:schemeClr w14:val="tx1"/>
            </w14:solidFill>
          </w14:textFill>
        </w:rPr>
        <w:t>n</w:t>
      </w:r>
      <w:r>
        <w:rPr>
          <w:rFonts w:ascii="Verdana" w:hAnsi="Verdana" w:eastAsia="Times New Roman" w:cs="Verdana"/>
          <w:color w:val="000000" w:themeColor="text1"/>
          <w:sz w:val="22"/>
          <w:szCs w:val="22"/>
          <w:lang w:eastAsia="it-IT"/>
          <w14:textFill>
            <w14:solidFill>
              <w14:schemeClr w14:val="tx1"/>
            </w14:solidFill>
          </w14:textFill>
        </w:rPr>
        <w:t>)</w:t>
      </w:r>
    </w:p>
    <w:p>
      <w:pPr>
        <w:jc w:val="both"/>
        <w:rPr>
          <w:rFonts w:ascii="Verdana" w:hAnsi="Verdana" w:eastAsia="Times New Roman" w:cs="Verdana"/>
          <w:color w:val="000000" w:themeColor="text1"/>
          <w:sz w:val="22"/>
          <w:szCs w:val="22"/>
          <w:lang w:eastAsia="it-IT"/>
          <w14:textFill>
            <w14:solidFill>
              <w14:schemeClr w14:val="tx1"/>
            </w14:solidFill>
          </w14:textFill>
        </w:rPr>
      </w:pPr>
    </w:p>
    <w:p>
      <w:p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 xml:space="preserve">Sappiamo che </w:t>
      </w:r>
    </w:p>
    <w:p>
      <w:pPr>
        <w:jc w:val="both"/>
        <w:rPr>
          <w:rFonts w:ascii="Verdana" w:hAnsi="Verdana" w:eastAsia="Times New Roman" w:cs="Verdana"/>
          <w:color w:val="000000" w:themeColor="text1"/>
          <w:sz w:val="20"/>
          <w:szCs w:val="20"/>
          <w:lang w:eastAsia="it-IT"/>
          <w14:textFill>
            <w14:solidFill>
              <w14:schemeClr w14:val="tx1"/>
            </w14:solidFill>
          </w14:textFill>
        </w:rPr>
      </w:pPr>
      <w:r>
        <w:rPr>
          <w:rFonts w:ascii="Verdana" w:hAnsi="Verdana" w:eastAsia="Times New Roman" w:cs="Verdana"/>
          <w:color w:val="000000" w:themeColor="text1"/>
          <w:sz w:val="20"/>
          <w:szCs w:val="20"/>
          <w:lang w:eastAsia="it-IT"/>
          <w14:textFill>
            <w14:solidFill>
              <w14:schemeClr w14:val="tx1"/>
            </w14:solidFill>
          </w14:textFill>
        </w:rPr>
        <w:t>∑i(</w:t>
      </w:r>
      <w:r>
        <w:rPr>
          <w:rFonts w:ascii="Verdana" w:hAnsi="Verdana" w:eastAsia="Times New Roman" w:cs="Verdana"/>
          <w:i/>
          <w:color w:val="000000" w:themeColor="text1"/>
          <w:sz w:val="20"/>
          <w:szCs w:val="20"/>
          <w:lang w:eastAsia="it-IT"/>
          <w14:textFill>
            <w14:solidFill>
              <w14:schemeClr w14:val="tx1"/>
            </w14:solidFill>
          </w14:textFill>
        </w:rPr>
        <w:t>n</w:t>
      </w:r>
      <w:r>
        <w:rPr>
          <w:rFonts w:ascii="Verdana" w:hAnsi="Verdana" w:eastAsia="Times New Roman" w:cs="Verdana"/>
          <w:color w:val="000000" w:themeColor="text1"/>
          <w:sz w:val="20"/>
          <w:szCs w:val="20"/>
          <w:lang w:eastAsia="it-IT"/>
          <w14:textFill>
            <w14:solidFill>
              <w14:schemeClr w14:val="tx1"/>
            </w14:solidFill>
          </w14:textFill>
        </w:rPr>
        <w:t>)=</w:t>
      </w:r>
      <m:oMath>
        <m:d>
          <m:dPr>
            <m:ctrlPr>
              <w:rPr>
                <w:rFonts w:ascii="Cambria Math" w:hAnsi="Cambria Math" w:eastAsia="Times New Roman" w:cs="Verdana"/>
                <w:i/>
                <w:color w:val="000000" w:themeColor="text1"/>
                <w:sz w:val="20"/>
                <w:szCs w:val="20"/>
                <w:lang w:eastAsia="it-IT"/>
                <w14:textFill>
                  <w14:solidFill>
                    <w14:schemeClr w14:val="tx1"/>
                  </w14:solidFill>
                </w14:textFill>
              </w:rPr>
            </m:ctrlPr>
          </m:dPr>
          <m:e>
            <m:nary>
              <m:naryPr>
                <m:chr m:val="∑"/>
                <m:limLoc m:val="undOvr"/>
                <m:ctrlPr>
                  <w:rPr>
                    <w:rFonts w:ascii="Cambria Math" w:hAnsi="Cambria Math" w:eastAsia="Times New Roman" w:cs="Verdana"/>
                    <w:i/>
                    <w:color w:val="000000" w:themeColor="text1"/>
                    <w:sz w:val="20"/>
                    <w:szCs w:val="20"/>
                    <w:lang w:eastAsia="it-IT"/>
                    <w14:textFill>
                      <w14:solidFill>
                        <w14:schemeClr w14:val="tx1"/>
                      </w14:solidFill>
                    </w14:textFill>
                  </w:rPr>
                </m:ctrlPr>
              </m:naryPr>
              <m:sub>
                <m:r>
                  <m:rPr/>
                  <w:rPr>
                    <w:rFonts w:ascii="Cambria Math" w:hAnsi="Cambria Math" w:eastAsia="Times New Roman" w:cs="Verdana"/>
                    <w:color w:val="000000" w:themeColor="text1"/>
                    <w:sz w:val="20"/>
                    <w:szCs w:val="20"/>
                    <w:lang w:eastAsia="it-IT"/>
                    <w14:textFill>
                      <w14:solidFill>
                        <w14:schemeClr w14:val="tx1"/>
                      </w14:solidFill>
                    </w14:textFill>
                  </w:rPr>
                  <m:t>n=0</m:t>
                </m:r>
                <m:ctrlPr>
                  <w:rPr>
                    <w:rFonts w:ascii="Cambria Math" w:hAnsi="Cambria Math" w:eastAsia="Times New Roman" w:cs="Verdana"/>
                    <w:i/>
                    <w:color w:val="000000" w:themeColor="text1"/>
                    <w:sz w:val="20"/>
                    <w:szCs w:val="20"/>
                    <w:lang w:eastAsia="it-IT"/>
                    <w14:textFill>
                      <w14:solidFill>
                        <w14:schemeClr w14:val="tx1"/>
                      </w14:solidFill>
                    </w14:textFill>
                  </w:rPr>
                </m:ctrlPr>
              </m:sub>
              <m:sup>
                <m:r>
                  <m:rPr/>
                  <w:rPr>
                    <w:rFonts w:ascii="Cambria Math" w:hAnsi="Cambria Math" w:eastAsia="Times New Roman" w:cs="Verdana"/>
                    <w:color w:val="000000" w:themeColor="text1"/>
                    <w:sz w:val="20"/>
                    <w:szCs w:val="20"/>
                    <w:lang w:eastAsia="it-IT"/>
                    <w14:textFill>
                      <w14:solidFill>
                        <w14:schemeClr w14:val="tx1"/>
                      </w14:solidFill>
                    </w14:textFill>
                  </w:rPr>
                  <m:t>∞</m:t>
                </m:r>
                <m:ctrlPr>
                  <w:rPr>
                    <w:rFonts w:ascii="Cambria Math" w:hAnsi="Cambria Math" w:eastAsia="Times New Roman" w:cs="Verdana"/>
                    <w:i/>
                    <w:color w:val="000000" w:themeColor="text1"/>
                    <w:sz w:val="20"/>
                    <w:szCs w:val="20"/>
                    <w:lang w:eastAsia="it-IT"/>
                    <w14:textFill>
                      <w14:solidFill>
                        <w14:schemeClr w14:val="tx1"/>
                      </w14:solidFill>
                    </w14:textFill>
                  </w:rPr>
                </m:ctrlPr>
              </m:sup>
              <m:e>
                <m:r>
                  <m:rPr/>
                  <w:rPr>
                    <w:rFonts w:ascii="Cambria Math" w:hAnsi="Cambria Math" w:eastAsia="Times New Roman" w:cs="Verdana"/>
                    <w:color w:val="000000" w:themeColor="text1"/>
                    <w:sz w:val="20"/>
                    <w:szCs w:val="20"/>
                    <w:lang w:eastAsia="it-IT"/>
                    <w14:textFill>
                      <w14:solidFill>
                        <w14:schemeClr w14:val="tx1"/>
                      </w14:solidFill>
                    </w14:textFill>
                  </w:rPr>
                  <m:t>IL</m:t>
                </m:r>
                <m:ctrlPr>
                  <w:rPr>
                    <w:rFonts w:ascii="Cambria Math" w:hAnsi="Cambria Math" w:eastAsia="Times New Roman" w:cs="Verdana"/>
                    <w:i/>
                    <w:color w:val="000000" w:themeColor="text1"/>
                    <w:sz w:val="20"/>
                    <w:szCs w:val="20"/>
                    <w:lang w:eastAsia="it-IT"/>
                    <w14:textFill>
                      <w14:solidFill>
                        <w14:schemeClr w14:val="tx1"/>
                      </w14:solidFill>
                    </w14:textFill>
                  </w:rPr>
                </m:ctrlPr>
              </m:e>
            </m:nary>
            <m:d>
              <m:dPr>
                <m:ctrlPr>
                  <w:rPr>
                    <w:rFonts w:ascii="Cambria Math" w:hAnsi="Cambria Math" w:eastAsia="Times New Roman" w:cs="Verdana"/>
                    <w:i/>
                    <w:color w:val="000000" w:themeColor="text1"/>
                    <w:sz w:val="20"/>
                    <w:szCs w:val="20"/>
                    <w:lang w:eastAsia="it-IT"/>
                    <w14:textFill>
                      <w14:solidFill>
                        <w14:schemeClr w14:val="tx1"/>
                      </w14:solidFill>
                    </w14:textFill>
                  </w:rPr>
                </m:ctrlPr>
              </m:dPr>
              <m:e>
                <m:r>
                  <m:rPr/>
                  <w:rPr>
                    <w:rFonts w:ascii="Cambria Math" w:hAnsi="Cambria Math" w:eastAsia="Times New Roman" w:cs="Verdana"/>
                    <w:color w:val="000000" w:themeColor="text1"/>
                    <w:sz w:val="20"/>
                    <w:szCs w:val="20"/>
                    <w:lang w:eastAsia="it-IT"/>
                    <w14:textFill>
                      <w14:solidFill>
                        <w14:schemeClr w14:val="tx1"/>
                      </w14:solidFill>
                    </w14:textFill>
                  </w:rPr>
                  <m:t>n</m:t>
                </m:r>
                <m:ctrlPr>
                  <w:rPr>
                    <w:rFonts w:ascii="Cambria Math" w:hAnsi="Cambria Math" w:eastAsia="Times New Roman" w:cs="Verdana"/>
                    <w:i/>
                    <w:color w:val="000000" w:themeColor="text1"/>
                    <w:sz w:val="20"/>
                    <w:szCs w:val="20"/>
                    <w:lang w:eastAsia="it-IT"/>
                    <w14:textFill>
                      <w14:solidFill>
                        <w14:schemeClr w14:val="tx1"/>
                      </w14:solidFill>
                    </w14:textFill>
                  </w:rPr>
                </m:ctrlPr>
              </m:e>
            </m:d>
            <m:r>
              <m:rPr/>
              <w:rPr>
                <w:rFonts w:ascii="Cambria Math" w:hAnsi="Cambria Math" w:eastAsia="Times New Roman" w:cs="Verdana"/>
                <w:color w:val="000000" w:themeColor="text1"/>
                <w:sz w:val="20"/>
                <w:szCs w:val="20"/>
                <w:lang w:eastAsia="it-IT"/>
                <w14:textFill>
                  <w14:solidFill>
                    <w14:schemeClr w14:val="tx1"/>
                  </w14:solidFill>
                </w14:textFill>
              </w:rPr>
              <m:t xml:space="preserve"> </m:t>
            </m:r>
            <m:r>
              <m:rPr>
                <m:sty m:val="p"/>
              </m:rPr>
              <w:rPr>
                <w:rFonts w:ascii="Cambria Math" w:hAnsi="Cambria Math" w:eastAsia="Times New Roman" w:cs="Verdana"/>
                <w:color w:val="000000" w:themeColor="text1"/>
                <w:sz w:val="20"/>
                <w:szCs w:val="20"/>
                <w:lang w:eastAsia="it-IT"/>
                <w14:textFill>
                  <w14:solidFill>
                    <w14:schemeClr w14:val="tx1"/>
                  </w14:solidFill>
                </w14:textFill>
              </w:rPr>
              <m:t>∧</m:t>
            </m:r>
            <m:r>
              <m:rPr/>
              <w:rPr>
                <w:rFonts w:ascii="Cambria Math" w:hAnsi="Cambria Math" w:eastAsia="Times New Roman" w:cs="Verdana"/>
                <w:color w:val="000000" w:themeColor="text1"/>
                <w:sz w:val="20"/>
                <w:szCs w:val="20"/>
                <w:lang w:eastAsia="it-IT"/>
                <w14:textFill>
                  <w14:solidFill>
                    <w14:schemeClr w14:val="tx1"/>
                  </w14:solidFill>
                </w14:textFill>
              </w:rPr>
              <m:t xml:space="preserve"> </m:t>
            </m:r>
            <m:nary>
              <m:naryPr>
                <m:chr m:val="∑"/>
                <m:limLoc m:val="undOvr"/>
                <m:ctrlPr>
                  <w:rPr>
                    <w:rFonts w:ascii="Cambria Math" w:hAnsi="Cambria Math" w:eastAsia="Times New Roman" w:cs="Verdana"/>
                    <w:i/>
                    <w:color w:val="000000" w:themeColor="text1"/>
                    <w:sz w:val="20"/>
                    <w:szCs w:val="20"/>
                    <w:lang w:eastAsia="it-IT"/>
                    <w14:textFill>
                      <w14:solidFill>
                        <w14:schemeClr w14:val="tx1"/>
                      </w14:solidFill>
                    </w14:textFill>
                  </w:rPr>
                </m:ctrlPr>
              </m:naryPr>
              <m:sub>
                <m:r>
                  <m:rPr/>
                  <w:rPr>
                    <w:rFonts w:ascii="Cambria Math" w:hAnsi="Cambria Math" w:eastAsia="Times New Roman" w:cs="Verdana"/>
                    <w:color w:val="000000" w:themeColor="text1"/>
                    <w:sz w:val="20"/>
                    <w:szCs w:val="20"/>
                    <w:lang w:eastAsia="it-IT"/>
                    <w14:textFill>
                      <w14:solidFill>
                        <w14:schemeClr w14:val="tx1"/>
                      </w14:solidFill>
                    </w14:textFill>
                  </w:rPr>
                  <m:t>n=0</m:t>
                </m:r>
                <m:ctrlPr>
                  <w:rPr>
                    <w:rFonts w:ascii="Cambria Math" w:hAnsi="Cambria Math" w:eastAsia="Times New Roman" w:cs="Verdana"/>
                    <w:i/>
                    <w:color w:val="000000" w:themeColor="text1"/>
                    <w:sz w:val="20"/>
                    <w:szCs w:val="20"/>
                    <w:lang w:eastAsia="it-IT"/>
                    <w14:textFill>
                      <w14:solidFill>
                        <w14:schemeClr w14:val="tx1"/>
                      </w14:solidFill>
                    </w14:textFill>
                  </w:rPr>
                </m:ctrlPr>
              </m:sub>
              <m:sup>
                <m:r>
                  <m:rPr/>
                  <w:rPr>
                    <w:rFonts w:ascii="Cambria Math" w:hAnsi="Cambria Math" w:eastAsia="Times New Roman" w:cs="Verdana"/>
                    <w:color w:val="000000" w:themeColor="text1"/>
                    <w:sz w:val="20"/>
                    <w:szCs w:val="20"/>
                    <w:lang w:eastAsia="it-IT"/>
                    <w14:textFill>
                      <w14:solidFill>
                        <w14:schemeClr w14:val="tx1"/>
                      </w14:solidFill>
                    </w14:textFill>
                  </w:rPr>
                  <m:t>∞</m:t>
                </m:r>
                <m:ctrlPr>
                  <w:rPr>
                    <w:rFonts w:ascii="Cambria Math" w:hAnsi="Cambria Math" w:eastAsia="Times New Roman" w:cs="Verdana"/>
                    <w:i/>
                    <w:color w:val="000000" w:themeColor="text1"/>
                    <w:sz w:val="20"/>
                    <w:szCs w:val="20"/>
                    <w:lang w:eastAsia="it-IT"/>
                    <w14:textFill>
                      <w14:solidFill>
                        <w14:schemeClr w14:val="tx1"/>
                      </w14:solidFill>
                    </w14:textFill>
                  </w:rPr>
                </m:ctrlPr>
              </m:sup>
              <m:e>
                <m:d>
                  <m:dPr>
                    <m:ctrlPr>
                      <w:rPr>
                        <w:rFonts w:ascii="Cambria Math" w:hAnsi="Cambria Math" w:eastAsia="Times New Roman" w:cs="Verdana"/>
                        <w:i/>
                        <w:color w:val="000000" w:themeColor="text1"/>
                        <w:sz w:val="20"/>
                        <w:szCs w:val="20"/>
                        <w:lang w:eastAsia="it-IT"/>
                        <w14:textFill>
                          <w14:solidFill>
                            <w14:schemeClr w14:val="tx1"/>
                          </w14:solidFill>
                        </w14:textFill>
                      </w:rPr>
                    </m:ctrlPr>
                  </m:dPr>
                  <m:e>
                    <m:r>
                      <m:rPr/>
                      <w:rPr>
                        <w:rFonts w:ascii="Cambria Math" w:hAnsi="Cambria Math" w:eastAsia="Times New Roman" w:cs="Verdana"/>
                        <w:color w:val="000000" w:themeColor="text1"/>
                        <w:sz w:val="20"/>
                        <w:szCs w:val="20"/>
                        <w:lang w:eastAsia="it-IT"/>
                        <w14:textFill>
                          <w14:solidFill>
                            <w14:schemeClr w14:val="tx1"/>
                          </w14:solidFill>
                        </w14:textFill>
                      </w:rPr>
                      <m:t>n</m:t>
                    </m:r>
                    <m:ctrlPr>
                      <w:rPr>
                        <w:rFonts w:ascii="Cambria Math" w:hAnsi="Cambria Math" w:eastAsia="Times New Roman" w:cs="Verdana"/>
                        <w:i/>
                        <w:color w:val="000000" w:themeColor="text1"/>
                        <w:sz w:val="20"/>
                        <w:szCs w:val="20"/>
                        <w:lang w:eastAsia="it-IT"/>
                        <w14:textFill>
                          <w14:solidFill>
                            <w14:schemeClr w14:val="tx1"/>
                          </w14:solidFill>
                        </w14:textFill>
                      </w:rPr>
                    </m:ctrlPr>
                  </m:e>
                </m:d>
                <m:r>
                  <m:rPr/>
                  <w:rPr>
                    <w:rFonts w:ascii="Cambria Math" w:hAnsi="Cambria Math" w:eastAsia="Times New Roman" w:cs="Verdana"/>
                    <w:color w:val="000000" w:themeColor="text1"/>
                    <w:sz w:val="20"/>
                    <w:szCs w:val="20"/>
                    <w:lang w:eastAsia="it-IT"/>
                    <w14:textFill>
                      <w14:solidFill>
                        <w14:schemeClr w14:val="tx1"/>
                      </w14:solidFill>
                    </w14:textFill>
                  </w:rPr>
                  <m:t xml:space="preserve"> IR </m:t>
                </m:r>
                <m:ctrlPr>
                  <w:rPr>
                    <w:rFonts w:ascii="Cambria Math" w:hAnsi="Cambria Math" w:eastAsia="Times New Roman" w:cs="Verdana"/>
                    <w:i/>
                    <w:color w:val="000000" w:themeColor="text1"/>
                    <w:sz w:val="20"/>
                    <w:szCs w:val="20"/>
                    <w:lang w:eastAsia="it-IT"/>
                    <w14:textFill>
                      <w14:solidFill>
                        <w14:schemeClr w14:val="tx1"/>
                      </w14:solidFill>
                    </w14:textFill>
                  </w:rPr>
                </m:ctrlPr>
              </m:e>
            </m:nary>
            <m:ctrlPr>
              <w:rPr>
                <w:rFonts w:ascii="Cambria Math" w:hAnsi="Cambria Math" w:eastAsia="Times New Roman" w:cs="Verdana"/>
                <w:color w:val="000000" w:themeColor="text1"/>
                <w:sz w:val="20"/>
                <w:szCs w:val="20"/>
                <w:lang w:eastAsia="it-IT"/>
                <w14:textFill>
                  <w14:solidFill>
                    <w14:schemeClr w14:val="tx1"/>
                  </w14:solidFill>
                </w14:textFill>
              </w:rPr>
            </m:ctrlPr>
          </m:e>
        </m:d>
        <m:r>
          <m:rPr>
            <m:sty m:val="p"/>
          </m:rPr>
          <w:rPr>
            <w:rFonts w:ascii="Cambria Math" w:hAnsi="Cambria Math" w:eastAsia="Times New Roman" w:cs="Verdana"/>
            <w:color w:val="000000" w:themeColor="text1"/>
            <w:sz w:val="20"/>
            <w:szCs w:val="20"/>
            <w:lang w:eastAsia="it-IT"/>
            <w14:textFill>
              <w14:solidFill>
                <w14:schemeClr w14:val="tx1"/>
              </w14:solidFill>
            </w14:textFill>
          </w:rPr>
          <m:t>∘</m:t>
        </m:r>
        <m:d>
          <m:dPr>
            <m:begChr m:val="["/>
            <m:endChr m:val="]"/>
            <m:ctrlPr>
              <w:rPr>
                <w:rFonts w:ascii="Cambria Math" w:hAnsi="Cambria Math" w:eastAsia="Times New Roman" w:cs="Verdana"/>
                <w:i/>
                <w:color w:val="000000" w:themeColor="text1"/>
                <w:sz w:val="20"/>
                <w:szCs w:val="20"/>
                <w:lang w:eastAsia="it-IT"/>
                <w14:textFill>
                  <w14:solidFill>
                    <w14:schemeClr w14:val="tx1"/>
                  </w14:solidFill>
                </w14:textFill>
              </w:rPr>
            </m:ctrlPr>
          </m:dPr>
          <m:e>
            <m:r>
              <m:rPr/>
              <w:rPr>
                <w:rFonts w:ascii="Cambria Math" w:hAnsi="Cambria Math" w:eastAsia="Times New Roman" w:cs="Verdana"/>
                <w:color w:val="000000" w:themeColor="text1"/>
                <w:sz w:val="20"/>
                <w:szCs w:val="20"/>
                <w:lang w:eastAsia="it-IT"/>
                <w14:textFill>
                  <w14:solidFill>
                    <w14:schemeClr w14:val="tx1"/>
                  </w14:solidFill>
                </w14:textFill>
              </w:rPr>
              <m:t>IL=0=&gt;</m:t>
            </m:r>
            <m:nary>
              <m:naryPr>
                <m:chr m:val="∑"/>
                <m:limLoc m:val="undOvr"/>
                <m:ctrlPr>
                  <w:rPr>
                    <w:rFonts w:ascii="Cambria Math" w:hAnsi="Cambria Math" w:eastAsia="Times New Roman" w:cs="Verdana"/>
                    <w:i/>
                    <w:color w:val="000000" w:themeColor="text1"/>
                    <w:sz w:val="20"/>
                    <w:szCs w:val="20"/>
                    <w:lang w:eastAsia="it-IT"/>
                    <w14:textFill>
                      <w14:solidFill>
                        <w14:schemeClr w14:val="tx1"/>
                      </w14:solidFill>
                    </w14:textFill>
                  </w:rPr>
                </m:ctrlPr>
              </m:naryPr>
              <m:sub>
                <m:r>
                  <m:rPr/>
                  <w:rPr>
                    <w:rFonts w:ascii="Cambria Math" w:hAnsi="Cambria Math" w:eastAsia="Times New Roman" w:cs="Verdana"/>
                    <w:color w:val="000000" w:themeColor="text1"/>
                    <w:sz w:val="20"/>
                    <w:szCs w:val="20"/>
                    <w:lang w:eastAsia="it-IT"/>
                    <w14:textFill>
                      <w14:solidFill>
                        <w14:schemeClr w14:val="tx1"/>
                      </w14:solidFill>
                    </w14:textFill>
                  </w:rPr>
                  <m:t>n=0</m:t>
                </m:r>
                <m:ctrlPr>
                  <w:rPr>
                    <w:rFonts w:ascii="Cambria Math" w:hAnsi="Cambria Math" w:eastAsia="Times New Roman" w:cs="Verdana"/>
                    <w:i/>
                    <w:color w:val="000000" w:themeColor="text1"/>
                    <w:sz w:val="20"/>
                    <w:szCs w:val="20"/>
                    <w:lang w:eastAsia="it-IT"/>
                    <w14:textFill>
                      <w14:solidFill>
                        <w14:schemeClr w14:val="tx1"/>
                      </w14:solidFill>
                    </w14:textFill>
                  </w:rPr>
                </m:ctrlPr>
              </m:sub>
              <m:sup>
                <m:r>
                  <m:rPr/>
                  <w:rPr>
                    <w:rFonts w:ascii="Cambria Math" w:hAnsi="Cambria Math" w:eastAsia="Times New Roman" w:cs="Verdana"/>
                    <w:color w:val="000000" w:themeColor="text1"/>
                    <w:sz w:val="20"/>
                    <w:szCs w:val="20"/>
                    <w:lang w:eastAsia="it-IT"/>
                    <w14:textFill>
                      <w14:solidFill>
                        <w14:schemeClr w14:val="tx1"/>
                      </w14:solidFill>
                    </w14:textFill>
                  </w:rPr>
                  <m:t>∞</m:t>
                </m:r>
                <m:ctrlPr>
                  <w:rPr>
                    <w:rFonts w:ascii="Cambria Math" w:hAnsi="Cambria Math" w:eastAsia="Times New Roman" w:cs="Verdana"/>
                    <w:i/>
                    <w:color w:val="000000" w:themeColor="text1"/>
                    <w:sz w:val="20"/>
                    <w:szCs w:val="20"/>
                    <w:lang w:eastAsia="it-IT"/>
                    <w14:textFill>
                      <w14:solidFill>
                        <w14:schemeClr w14:val="tx1"/>
                      </w14:solidFill>
                    </w14:textFill>
                  </w:rPr>
                </m:ctrlPr>
              </m:sup>
              <m:e>
                <m:r>
                  <m:rPr/>
                  <w:rPr>
                    <w:rFonts w:ascii="Cambria Math" w:hAnsi="Cambria Math" w:eastAsia="Times New Roman" w:cs="Verdana"/>
                    <w:color w:val="000000" w:themeColor="text1"/>
                    <w:sz w:val="20"/>
                    <w:szCs w:val="20"/>
                    <w:lang w:eastAsia="it-IT"/>
                    <w14:textFill>
                      <w14:solidFill>
                        <w14:schemeClr w14:val="tx1"/>
                      </w14:solidFill>
                    </w14:textFill>
                  </w:rPr>
                  <m:t xml:space="preserve">AL </m:t>
                </m:r>
                <m:d>
                  <m:dPr>
                    <m:ctrlPr>
                      <w:rPr>
                        <w:rFonts w:ascii="Cambria Math" w:hAnsi="Cambria Math" w:eastAsia="Times New Roman" w:cs="Verdana"/>
                        <w:i/>
                        <w:color w:val="000000" w:themeColor="text1"/>
                        <w:sz w:val="20"/>
                        <w:szCs w:val="20"/>
                        <w:lang w:eastAsia="it-IT"/>
                        <w14:textFill>
                          <w14:solidFill>
                            <w14:schemeClr w14:val="tx1"/>
                          </w14:solidFill>
                        </w14:textFill>
                      </w:rPr>
                    </m:ctrlPr>
                  </m:dPr>
                  <m:e>
                    <m:r>
                      <m:rPr/>
                      <w:rPr>
                        <w:rFonts w:ascii="Cambria Math" w:hAnsi="Cambria Math" w:eastAsia="Times New Roman" w:cs="Verdana"/>
                        <w:color w:val="000000" w:themeColor="text1"/>
                        <w:sz w:val="20"/>
                        <w:szCs w:val="20"/>
                        <w:lang w:eastAsia="it-IT"/>
                        <w14:textFill>
                          <w14:solidFill>
                            <w14:schemeClr w14:val="tx1"/>
                          </w14:solidFill>
                        </w14:textFill>
                      </w:rPr>
                      <m:t>n</m:t>
                    </m:r>
                    <m:ctrlPr>
                      <w:rPr>
                        <w:rFonts w:ascii="Cambria Math" w:hAnsi="Cambria Math" w:eastAsia="Times New Roman" w:cs="Verdana"/>
                        <w:i/>
                        <w:color w:val="000000" w:themeColor="text1"/>
                        <w:sz w:val="20"/>
                        <w:szCs w:val="20"/>
                        <w:lang w:eastAsia="it-IT"/>
                        <w14:textFill>
                          <w14:solidFill>
                            <w14:schemeClr w14:val="tx1"/>
                          </w14:solidFill>
                        </w14:textFill>
                      </w:rPr>
                    </m:ctrlPr>
                  </m:e>
                </m:d>
                <m:ctrlPr>
                  <w:rPr>
                    <w:rFonts w:ascii="Cambria Math" w:hAnsi="Cambria Math" w:eastAsia="Times New Roman" w:cs="Verdana"/>
                    <w:i/>
                    <w:color w:val="000000" w:themeColor="text1"/>
                    <w:sz w:val="20"/>
                    <w:szCs w:val="20"/>
                    <w:lang w:eastAsia="it-IT"/>
                    <w14:textFill>
                      <w14:solidFill>
                        <w14:schemeClr w14:val="tx1"/>
                      </w14:solidFill>
                    </w14:textFill>
                  </w:rPr>
                </m:ctrlPr>
              </m:e>
            </m:nary>
            <m:ctrlPr>
              <w:rPr>
                <w:rFonts w:ascii="Cambria Math" w:hAnsi="Cambria Math" w:eastAsia="Times New Roman" w:cs="Verdana"/>
                <w:i/>
                <w:color w:val="000000" w:themeColor="text1"/>
                <w:sz w:val="20"/>
                <w:szCs w:val="20"/>
                <w:lang w:eastAsia="it-IT"/>
                <w14:textFill>
                  <w14:solidFill>
                    <w14:schemeClr w14:val="tx1"/>
                  </w14:solidFill>
                </w14:textFill>
              </w:rPr>
            </m:ctrlPr>
          </m:e>
        </m:d>
        <m:r>
          <m:rPr/>
          <w:rPr>
            <w:rFonts w:ascii="Cambria Math" w:hAnsi="Cambria Math" w:eastAsia="Times New Roman" w:cs="Verdana"/>
            <w:color w:val="000000" w:themeColor="text1"/>
            <w:sz w:val="20"/>
            <w:szCs w:val="20"/>
            <w:lang w:eastAsia="it-IT"/>
            <w14:textFill>
              <w14:solidFill>
                <w14:schemeClr w14:val="tx1"/>
              </w14:solidFill>
            </w14:textFill>
          </w:rPr>
          <m:t xml:space="preserve"> </m:t>
        </m:r>
        <m:r>
          <m:rPr>
            <m:sty m:val="p"/>
          </m:rPr>
          <w:rPr>
            <w:rFonts w:ascii="Cambria Math" w:hAnsi="Cambria Math" w:eastAsia="Times New Roman" w:cs="Verdana"/>
            <w:color w:val="000000" w:themeColor="text1"/>
            <w:sz w:val="20"/>
            <w:szCs w:val="20"/>
            <w:lang w:eastAsia="it-IT"/>
            <w14:textFill>
              <w14:solidFill>
                <w14:schemeClr w14:val="tx1"/>
              </w14:solidFill>
            </w14:textFill>
          </w:rPr>
          <m:t>∘</m:t>
        </m:r>
        <m:d>
          <m:dPr>
            <m:begChr m:val="{"/>
            <m:endChr m:val=""/>
            <m:ctrlPr>
              <w:rPr>
                <w:rFonts w:ascii="Cambria Math" w:hAnsi="Cambria Math" w:eastAsia="Times New Roman" w:cs="Verdana"/>
                <w:i/>
                <w:color w:val="000000" w:themeColor="text1"/>
                <w:sz w:val="20"/>
                <w:szCs w:val="20"/>
                <w:lang w:eastAsia="it-IT"/>
                <w14:textFill>
                  <w14:solidFill>
                    <w14:schemeClr w14:val="tx1"/>
                  </w14:solidFill>
                </w14:textFill>
              </w:rPr>
            </m:ctrlPr>
          </m:dPr>
          <m:e>
            <m:r>
              <m:rPr/>
              <w:rPr>
                <w:rFonts w:ascii="Cambria Math" w:hAnsi="Cambria Math" w:eastAsia="Times New Roman" w:cs="Verdana"/>
                <w:color w:val="000000" w:themeColor="text1"/>
                <w:sz w:val="20"/>
                <w:szCs w:val="20"/>
                <w:lang w:eastAsia="it-IT"/>
                <w14:textFill>
                  <w14:solidFill>
                    <w14:schemeClr w14:val="tx1"/>
                  </w14:solidFill>
                </w14:textFill>
              </w:rPr>
              <m:t>AL≈0=&gt;</m:t>
            </m:r>
            <m:nary>
              <m:naryPr>
                <m:chr m:val="∑"/>
                <m:limLoc m:val="undOvr"/>
                <m:ctrlPr>
                  <w:rPr>
                    <w:rFonts w:ascii="Cambria Math" w:hAnsi="Cambria Math" w:eastAsia="Times New Roman" w:cs="Verdana"/>
                    <w:i/>
                    <w:color w:val="000000" w:themeColor="text1"/>
                    <w:sz w:val="20"/>
                    <w:szCs w:val="20"/>
                    <w:lang w:eastAsia="it-IT"/>
                    <w14:textFill>
                      <w14:solidFill>
                        <w14:schemeClr w14:val="tx1"/>
                      </w14:solidFill>
                    </w14:textFill>
                  </w:rPr>
                </m:ctrlPr>
              </m:naryPr>
              <m:sub>
                <m:r>
                  <m:rPr/>
                  <w:rPr>
                    <w:rFonts w:ascii="Cambria Math" w:hAnsi="Cambria Math" w:eastAsia="Times New Roman" w:cs="Verdana"/>
                    <w:color w:val="000000" w:themeColor="text1"/>
                    <w:sz w:val="20"/>
                    <w:szCs w:val="20"/>
                    <w:lang w:eastAsia="it-IT"/>
                    <w14:textFill>
                      <w14:solidFill>
                        <w14:schemeClr w14:val="tx1"/>
                      </w14:solidFill>
                    </w14:textFill>
                  </w:rPr>
                  <m:t>n=0</m:t>
                </m:r>
                <m:ctrlPr>
                  <w:rPr>
                    <w:rFonts w:ascii="Cambria Math" w:hAnsi="Cambria Math" w:eastAsia="Times New Roman" w:cs="Verdana"/>
                    <w:i/>
                    <w:color w:val="000000" w:themeColor="text1"/>
                    <w:sz w:val="20"/>
                    <w:szCs w:val="20"/>
                    <w:lang w:eastAsia="it-IT"/>
                    <w14:textFill>
                      <w14:solidFill>
                        <w14:schemeClr w14:val="tx1"/>
                      </w14:solidFill>
                    </w14:textFill>
                  </w:rPr>
                </m:ctrlPr>
              </m:sub>
              <m:sup>
                <m:r>
                  <m:rPr/>
                  <w:rPr>
                    <w:rFonts w:ascii="Cambria Math" w:hAnsi="Cambria Math" w:eastAsia="Times New Roman" w:cs="Verdana"/>
                    <w:color w:val="000000" w:themeColor="text1"/>
                    <w:sz w:val="20"/>
                    <w:szCs w:val="20"/>
                    <w:lang w:eastAsia="it-IT"/>
                    <w14:textFill>
                      <w14:solidFill>
                        <w14:schemeClr w14:val="tx1"/>
                      </w14:solidFill>
                    </w14:textFill>
                  </w:rPr>
                  <m:t>∞</m:t>
                </m:r>
                <m:ctrlPr>
                  <w:rPr>
                    <w:rFonts w:ascii="Cambria Math" w:hAnsi="Cambria Math" w:eastAsia="Times New Roman" w:cs="Verdana"/>
                    <w:i/>
                    <w:color w:val="000000" w:themeColor="text1"/>
                    <w:sz w:val="20"/>
                    <w:szCs w:val="20"/>
                    <w:lang w:eastAsia="it-IT"/>
                    <w14:textFill>
                      <w14:solidFill>
                        <w14:schemeClr w14:val="tx1"/>
                      </w14:solidFill>
                    </w14:textFill>
                  </w:rPr>
                </m:ctrlPr>
              </m:sup>
              <m:e>
                <m:r>
                  <m:rPr/>
                  <w:rPr>
                    <w:rFonts w:ascii="Cambria Math" w:hAnsi="Cambria Math" w:eastAsia="Times New Roman" w:cs="Verdana"/>
                    <w:color w:val="000000" w:themeColor="text1"/>
                    <w:sz w:val="20"/>
                    <w:szCs w:val="20"/>
                    <w:lang w:eastAsia="it-IT"/>
                    <w14:textFill>
                      <w14:solidFill>
                        <w14:schemeClr w14:val="tx1"/>
                      </w14:solidFill>
                    </w14:textFill>
                  </w:rPr>
                  <m:t xml:space="preserve">AI </m:t>
                </m:r>
                <m:d>
                  <m:dPr>
                    <m:ctrlPr>
                      <w:rPr>
                        <w:rFonts w:ascii="Cambria Math" w:hAnsi="Cambria Math" w:eastAsia="Times New Roman" w:cs="Verdana"/>
                        <w:i/>
                        <w:color w:val="000000" w:themeColor="text1"/>
                        <w:sz w:val="20"/>
                        <w:szCs w:val="20"/>
                        <w:lang w:eastAsia="it-IT"/>
                        <w14:textFill>
                          <w14:solidFill>
                            <w14:schemeClr w14:val="tx1"/>
                          </w14:solidFill>
                        </w14:textFill>
                      </w:rPr>
                    </m:ctrlPr>
                  </m:dPr>
                  <m:e>
                    <m:r>
                      <m:rPr/>
                      <w:rPr>
                        <w:rFonts w:ascii="Cambria Math" w:hAnsi="Cambria Math" w:eastAsia="Times New Roman" w:cs="Verdana"/>
                        <w:color w:val="000000" w:themeColor="text1"/>
                        <w:sz w:val="20"/>
                        <w:szCs w:val="20"/>
                        <w:lang w:eastAsia="it-IT"/>
                        <w14:textFill>
                          <w14:solidFill>
                            <w14:schemeClr w14:val="tx1"/>
                          </w14:solidFill>
                        </w14:textFill>
                      </w:rPr>
                      <m:t>n</m:t>
                    </m:r>
                    <m:ctrlPr>
                      <w:rPr>
                        <w:rFonts w:ascii="Cambria Math" w:hAnsi="Cambria Math" w:eastAsia="Times New Roman" w:cs="Verdana"/>
                        <w:i/>
                        <w:color w:val="000000" w:themeColor="text1"/>
                        <w:sz w:val="20"/>
                        <w:szCs w:val="20"/>
                        <w:lang w:eastAsia="it-IT"/>
                        <w14:textFill>
                          <w14:solidFill>
                            <w14:schemeClr w14:val="tx1"/>
                          </w14:solidFill>
                        </w14:textFill>
                      </w:rPr>
                    </m:ctrlPr>
                  </m:e>
                </m:d>
                <m:ctrlPr>
                  <w:rPr>
                    <w:rFonts w:ascii="Cambria Math" w:hAnsi="Cambria Math" w:eastAsia="Times New Roman" w:cs="Verdana"/>
                    <w:i/>
                    <w:color w:val="000000" w:themeColor="text1"/>
                    <w:sz w:val="20"/>
                    <w:szCs w:val="20"/>
                    <w:lang w:eastAsia="it-IT"/>
                    <w14:textFill>
                      <w14:solidFill>
                        <w14:schemeClr w14:val="tx1"/>
                      </w14:solidFill>
                    </w14:textFill>
                  </w:rPr>
                </m:ctrlPr>
              </m:e>
            </m:nary>
            <m:ctrlPr>
              <w:rPr>
                <w:rFonts w:ascii="Cambria Math" w:hAnsi="Cambria Math" w:eastAsia="Times New Roman" w:cs="Verdana"/>
                <w:i/>
                <w:color w:val="000000" w:themeColor="text1"/>
                <w:sz w:val="20"/>
                <w:szCs w:val="20"/>
                <w:lang w:eastAsia="it-IT"/>
                <w14:textFill>
                  <w14:solidFill>
                    <w14:schemeClr w14:val="tx1"/>
                  </w14:solidFill>
                </w14:textFill>
              </w:rPr>
            </m:ctrlPr>
          </m:e>
        </m:d>
      </m:oMath>
      <w:r>
        <w:rPr>
          <w:rFonts w:ascii="Verdana" w:hAnsi="Verdana" w:eastAsia="Times New Roman" w:cs="Verdana"/>
          <w:color w:val="000000" w:themeColor="text1"/>
          <w:sz w:val="20"/>
          <w:szCs w:val="20"/>
          <w:lang w:eastAsia="it-IT"/>
          <w14:textFill>
            <w14:solidFill>
              <w14:schemeClr w14:val="tx1"/>
            </w14:solidFill>
          </w14:textFill>
        </w:rPr>
        <w:t>}</w:t>
      </w:r>
    </w:p>
    <w:p>
      <w:pPr>
        <w:jc w:val="both"/>
        <w:rPr>
          <w:rFonts w:ascii="Verdana" w:hAnsi="Verdana" w:eastAsia="Times New Roman" w:cs="Verdana"/>
          <w:color w:val="000000" w:themeColor="text1"/>
          <w:sz w:val="22"/>
          <w:szCs w:val="22"/>
          <w:lang w:eastAsia="it-IT"/>
          <w14:textFill>
            <w14:solidFill>
              <w14:schemeClr w14:val="tx1"/>
            </w14:solidFill>
          </w14:textFill>
        </w:rPr>
      </w:pPr>
    </w:p>
    <w:p>
      <w:p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 xml:space="preserve">Dunque: </w:t>
      </w:r>
    </w:p>
    <w:p>
      <w:pPr>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IP = ∑i(</w:t>
      </w:r>
      <w:r>
        <w:rPr>
          <w:rFonts w:ascii="Verdana" w:hAnsi="Verdana" w:eastAsia="Times New Roman" w:cs="Verdana"/>
          <w:i/>
          <w:color w:val="000000" w:themeColor="text1"/>
          <w:sz w:val="22"/>
          <w:szCs w:val="22"/>
          <w:lang w:eastAsia="it-IT"/>
          <w14:textFill>
            <w14:solidFill>
              <w14:schemeClr w14:val="tx1"/>
            </w14:solidFill>
          </w14:textFill>
        </w:rPr>
        <w:t>n</w:t>
      </w:r>
      <w:r>
        <w:rPr>
          <w:rFonts w:ascii="Verdana" w:hAnsi="Verdana" w:eastAsia="Times New Roman" w:cs="Verdana"/>
          <w:color w:val="000000" w:themeColor="text1"/>
          <w:sz w:val="22"/>
          <w:szCs w:val="22"/>
          <w:lang w:eastAsia="it-IT"/>
          <w14:textFill>
            <w14:solidFill>
              <w14:schemeClr w14:val="tx1"/>
            </w14:solidFill>
          </w14:textFill>
        </w:rPr>
        <w:t>)=</w:t>
      </w:r>
      <m:oMath>
        <m:d>
          <m:dPr>
            <m:ctrlPr>
              <w:rPr>
                <w:rFonts w:ascii="Cambria Math" w:hAnsi="Cambria Math" w:eastAsia="Times New Roman" w:cs="Verdana"/>
                <w:i/>
                <w:color w:val="000000" w:themeColor="text1"/>
                <w:sz w:val="22"/>
                <w:szCs w:val="22"/>
                <w:lang w:eastAsia="it-IT"/>
                <w14:textFill>
                  <w14:solidFill>
                    <w14:schemeClr w14:val="tx1"/>
                  </w14:solidFill>
                </w14:textFill>
              </w:rPr>
            </m:ctrlPr>
          </m:dPr>
          <m:e>
            <m:nary>
              <m:naryPr>
                <m:chr m:val="∑"/>
                <m:limLoc m:val="undOvr"/>
                <m:ctrlPr>
                  <w:rPr>
                    <w:rFonts w:ascii="Cambria Math" w:hAnsi="Cambria Math" w:eastAsia="Times New Roman" w:cs="Verdana"/>
                    <w:i/>
                    <w:color w:val="000000" w:themeColor="text1"/>
                    <w:sz w:val="22"/>
                    <w:szCs w:val="22"/>
                    <w:lang w:eastAsia="it-IT"/>
                    <w14:textFill>
                      <w14:solidFill>
                        <w14:schemeClr w14:val="tx1"/>
                      </w14:solidFill>
                    </w14:textFill>
                  </w:rPr>
                </m:ctrlPr>
              </m:naryPr>
              <m:sub>
                <m:r>
                  <m:rPr/>
                  <w:rPr>
                    <w:rFonts w:ascii="Cambria Math" w:hAnsi="Cambria Math" w:eastAsia="Times New Roman" w:cs="Verdana"/>
                    <w:color w:val="000000" w:themeColor="text1"/>
                    <w:sz w:val="22"/>
                    <w:szCs w:val="22"/>
                    <w:lang w:eastAsia="it-IT"/>
                    <w14:textFill>
                      <w14:solidFill>
                        <w14:schemeClr w14:val="tx1"/>
                      </w14:solidFill>
                    </w14:textFill>
                  </w:rPr>
                  <m:t>n=0</m:t>
                </m:r>
                <m:ctrlPr>
                  <w:rPr>
                    <w:rFonts w:ascii="Cambria Math" w:hAnsi="Cambria Math" w:eastAsia="Times New Roman" w:cs="Verdana"/>
                    <w:i/>
                    <w:color w:val="000000" w:themeColor="text1"/>
                    <w:sz w:val="22"/>
                    <w:szCs w:val="22"/>
                    <w:lang w:eastAsia="it-IT"/>
                    <w14:textFill>
                      <w14:solidFill>
                        <w14:schemeClr w14:val="tx1"/>
                      </w14:solidFill>
                    </w14:textFill>
                  </w:rPr>
                </m:ctrlPr>
              </m:sub>
              <m:sup>
                <m:r>
                  <m:rPr/>
                  <w:rPr>
                    <w:rFonts w:ascii="Cambria Math" w:hAnsi="Cambria Math" w:eastAsia="Times New Roman" w:cs="Verdana"/>
                    <w:color w:val="000000" w:themeColor="text1"/>
                    <w:sz w:val="22"/>
                    <w:szCs w:val="22"/>
                    <w:lang w:eastAsia="it-IT"/>
                    <w14:textFill>
                      <w14:solidFill>
                        <w14:schemeClr w14:val="tx1"/>
                      </w14:solidFill>
                    </w14:textFill>
                  </w:rPr>
                  <m:t>∞</m:t>
                </m:r>
                <m:ctrlPr>
                  <w:rPr>
                    <w:rFonts w:ascii="Cambria Math" w:hAnsi="Cambria Math" w:eastAsia="Times New Roman" w:cs="Verdana"/>
                    <w:i/>
                    <w:color w:val="000000" w:themeColor="text1"/>
                    <w:sz w:val="22"/>
                    <w:szCs w:val="22"/>
                    <w:lang w:eastAsia="it-IT"/>
                    <w14:textFill>
                      <w14:solidFill>
                        <w14:schemeClr w14:val="tx1"/>
                      </w14:solidFill>
                    </w14:textFill>
                  </w:rPr>
                </m:ctrlPr>
              </m:sup>
              <m:e>
                <m:r>
                  <m:rPr/>
                  <w:rPr>
                    <w:rFonts w:ascii="Cambria Math" w:hAnsi="Cambria Math" w:eastAsia="Times New Roman" w:cs="Verdana"/>
                    <w:color w:val="000000" w:themeColor="text1"/>
                    <w:sz w:val="22"/>
                    <w:szCs w:val="22"/>
                    <w:lang w:eastAsia="it-IT"/>
                    <w14:textFill>
                      <w14:solidFill>
                        <w14:schemeClr w14:val="tx1"/>
                      </w14:solidFill>
                    </w14:textFill>
                  </w:rPr>
                  <m:t>IL</m:t>
                </m:r>
                <m:ctrlPr>
                  <w:rPr>
                    <w:rFonts w:ascii="Cambria Math" w:hAnsi="Cambria Math" w:eastAsia="Times New Roman" w:cs="Verdana"/>
                    <w:i/>
                    <w:color w:val="000000" w:themeColor="text1"/>
                    <w:sz w:val="22"/>
                    <w:szCs w:val="22"/>
                    <w:lang w:eastAsia="it-IT"/>
                    <w14:textFill>
                      <w14:solidFill>
                        <w14:schemeClr w14:val="tx1"/>
                      </w14:solidFill>
                    </w14:textFill>
                  </w:rPr>
                </m:ctrlPr>
              </m:e>
            </m:nary>
            <m:d>
              <m:dPr>
                <m:ctrlPr>
                  <w:rPr>
                    <w:rFonts w:ascii="Cambria Math" w:hAnsi="Cambria Math" w:eastAsia="Times New Roman" w:cs="Verdana"/>
                    <w:i/>
                    <w:color w:val="000000" w:themeColor="text1"/>
                    <w:sz w:val="22"/>
                    <w:szCs w:val="22"/>
                    <w:lang w:eastAsia="it-IT"/>
                    <w14:textFill>
                      <w14:solidFill>
                        <w14:schemeClr w14:val="tx1"/>
                      </w14:solidFill>
                    </w14:textFill>
                  </w:rPr>
                </m:ctrlPr>
              </m:dPr>
              <m:e>
                <m:r>
                  <m:rPr/>
                  <w:rPr>
                    <w:rFonts w:ascii="Cambria Math" w:hAnsi="Cambria Math" w:eastAsia="Times New Roman" w:cs="Verdana"/>
                    <w:color w:val="000000" w:themeColor="text1"/>
                    <w:sz w:val="22"/>
                    <w:szCs w:val="22"/>
                    <w:lang w:eastAsia="it-IT"/>
                    <w14:textFill>
                      <w14:solidFill>
                        <w14:schemeClr w14:val="tx1"/>
                      </w14:solidFill>
                    </w14:textFill>
                  </w:rPr>
                  <m:t>n</m:t>
                </m:r>
                <m:ctrlPr>
                  <w:rPr>
                    <w:rFonts w:ascii="Cambria Math" w:hAnsi="Cambria Math" w:eastAsia="Times New Roman" w:cs="Verdana"/>
                    <w:i/>
                    <w:color w:val="000000" w:themeColor="text1"/>
                    <w:sz w:val="22"/>
                    <w:szCs w:val="22"/>
                    <w:lang w:eastAsia="it-IT"/>
                    <w14:textFill>
                      <w14:solidFill>
                        <w14:schemeClr w14:val="tx1"/>
                      </w14:solidFill>
                    </w14:textFill>
                  </w:rPr>
                </m:ctrlPr>
              </m:e>
            </m:d>
            <m:r>
              <m:rPr/>
              <w:rPr>
                <w:rFonts w:ascii="Cambria Math" w:hAnsi="Cambria Math" w:eastAsia="Times New Roman" w:cs="Verdana"/>
                <w:color w:val="000000" w:themeColor="text1"/>
                <w:sz w:val="22"/>
                <w:szCs w:val="22"/>
                <w:lang w:eastAsia="it-IT"/>
                <w14:textFill>
                  <w14:solidFill>
                    <w14:schemeClr w14:val="tx1"/>
                  </w14:solidFill>
                </w14:textFill>
              </w:rPr>
              <m:t xml:space="preserve"> </m:t>
            </m:r>
            <m:r>
              <m:rPr>
                <m:sty m:val="p"/>
              </m:rPr>
              <w:rPr>
                <w:rFonts w:ascii="Cambria Math" w:hAnsi="Cambria Math" w:eastAsia="Times New Roman" w:cs="Verdana"/>
                <w:color w:val="000000" w:themeColor="text1"/>
                <w:sz w:val="22"/>
                <w:szCs w:val="22"/>
                <w:lang w:eastAsia="it-IT"/>
                <w14:textFill>
                  <w14:solidFill>
                    <w14:schemeClr w14:val="tx1"/>
                  </w14:solidFill>
                </w14:textFill>
              </w:rPr>
              <m:t>∧</m:t>
            </m:r>
            <m:r>
              <m:rPr/>
              <w:rPr>
                <w:rFonts w:ascii="Cambria Math" w:hAnsi="Cambria Math" w:eastAsia="Times New Roman" w:cs="Verdana"/>
                <w:color w:val="000000" w:themeColor="text1"/>
                <w:sz w:val="22"/>
                <w:szCs w:val="22"/>
                <w:lang w:eastAsia="it-IT"/>
                <w14:textFill>
                  <w14:solidFill>
                    <w14:schemeClr w14:val="tx1"/>
                  </w14:solidFill>
                </w14:textFill>
              </w:rPr>
              <m:t xml:space="preserve"> </m:t>
            </m:r>
            <m:nary>
              <m:naryPr>
                <m:chr m:val="∑"/>
                <m:limLoc m:val="undOvr"/>
                <m:ctrlPr>
                  <w:rPr>
                    <w:rFonts w:ascii="Cambria Math" w:hAnsi="Cambria Math" w:eastAsia="Times New Roman" w:cs="Verdana"/>
                    <w:i/>
                    <w:color w:val="000000" w:themeColor="text1"/>
                    <w:sz w:val="22"/>
                    <w:szCs w:val="22"/>
                    <w:lang w:eastAsia="it-IT"/>
                    <w14:textFill>
                      <w14:solidFill>
                        <w14:schemeClr w14:val="tx1"/>
                      </w14:solidFill>
                    </w14:textFill>
                  </w:rPr>
                </m:ctrlPr>
              </m:naryPr>
              <m:sub>
                <m:r>
                  <m:rPr/>
                  <w:rPr>
                    <w:rFonts w:ascii="Cambria Math" w:hAnsi="Cambria Math" w:eastAsia="Times New Roman" w:cs="Verdana"/>
                    <w:color w:val="000000" w:themeColor="text1"/>
                    <w:sz w:val="22"/>
                    <w:szCs w:val="22"/>
                    <w:lang w:eastAsia="it-IT"/>
                    <w14:textFill>
                      <w14:solidFill>
                        <w14:schemeClr w14:val="tx1"/>
                      </w14:solidFill>
                    </w14:textFill>
                  </w:rPr>
                  <m:t>n=0</m:t>
                </m:r>
                <m:ctrlPr>
                  <w:rPr>
                    <w:rFonts w:ascii="Cambria Math" w:hAnsi="Cambria Math" w:eastAsia="Times New Roman" w:cs="Verdana"/>
                    <w:i/>
                    <w:color w:val="000000" w:themeColor="text1"/>
                    <w:sz w:val="22"/>
                    <w:szCs w:val="22"/>
                    <w:lang w:eastAsia="it-IT"/>
                    <w14:textFill>
                      <w14:solidFill>
                        <w14:schemeClr w14:val="tx1"/>
                      </w14:solidFill>
                    </w14:textFill>
                  </w:rPr>
                </m:ctrlPr>
              </m:sub>
              <m:sup>
                <m:r>
                  <m:rPr/>
                  <w:rPr>
                    <w:rFonts w:ascii="Cambria Math" w:hAnsi="Cambria Math" w:eastAsia="Times New Roman" w:cs="Verdana"/>
                    <w:color w:val="000000" w:themeColor="text1"/>
                    <w:sz w:val="22"/>
                    <w:szCs w:val="22"/>
                    <w:lang w:eastAsia="it-IT"/>
                    <w14:textFill>
                      <w14:solidFill>
                        <w14:schemeClr w14:val="tx1"/>
                      </w14:solidFill>
                    </w14:textFill>
                  </w:rPr>
                  <m:t>∞</m:t>
                </m:r>
                <m:ctrlPr>
                  <w:rPr>
                    <w:rFonts w:ascii="Cambria Math" w:hAnsi="Cambria Math" w:eastAsia="Times New Roman" w:cs="Verdana"/>
                    <w:i/>
                    <w:color w:val="000000" w:themeColor="text1"/>
                    <w:sz w:val="22"/>
                    <w:szCs w:val="22"/>
                    <w:lang w:eastAsia="it-IT"/>
                    <w14:textFill>
                      <w14:solidFill>
                        <w14:schemeClr w14:val="tx1"/>
                      </w14:solidFill>
                    </w14:textFill>
                  </w:rPr>
                </m:ctrlPr>
              </m:sup>
              <m:e>
                <m:d>
                  <m:dPr>
                    <m:ctrlPr>
                      <w:rPr>
                        <w:rFonts w:ascii="Cambria Math" w:hAnsi="Cambria Math" w:eastAsia="Times New Roman" w:cs="Verdana"/>
                        <w:i/>
                        <w:color w:val="000000" w:themeColor="text1"/>
                        <w:sz w:val="22"/>
                        <w:szCs w:val="22"/>
                        <w:lang w:eastAsia="it-IT"/>
                        <w14:textFill>
                          <w14:solidFill>
                            <w14:schemeClr w14:val="tx1"/>
                          </w14:solidFill>
                        </w14:textFill>
                      </w:rPr>
                    </m:ctrlPr>
                  </m:dPr>
                  <m:e>
                    <m:r>
                      <m:rPr/>
                      <w:rPr>
                        <w:rFonts w:ascii="Cambria Math" w:hAnsi="Cambria Math" w:eastAsia="Times New Roman" w:cs="Verdana"/>
                        <w:color w:val="000000" w:themeColor="text1"/>
                        <w:sz w:val="22"/>
                        <w:szCs w:val="22"/>
                        <w:lang w:eastAsia="it-IT"/>
                        <w14:textFill>
                          <w14:solidFill>
                            <w14:schemeClr w14:val="tx1"/>
                          </w14:solidFill>
                        </w14:textFill>
                      </w:rPr>
                      <m:t>n</m:t>
                    </m:r>
                    <m:ctrlPr>
                      <w:rPr>
                        <w:rFonts w:ascii="Cambria Math" w:hAnsi="Cambria Math" w:eastAsia="Times New Roman" w:cs="Verdana"/>
                        <w:i/>
                        <w:color w:val="000000" w:themeColor="text1"/>
                        <w:sz w:val="22"/>
                        <w:szCs w:val="22"/>
                        <w:lang w:eastAsia="it-IT"/>
                        <w14:textFill>
                          <w14:solidFill>
                            <w14:schemeClr w14:val="tx1"/>
                          </w14:solidFill>
                        </w14:textFill>
                      </w:rPr>
                    </m:ctrlPr>
                  </m:e>
                </m:d>
                <m:r>
                  <m:rPr/>
                  <w:rPr>
                    <w:rFonts w:ascii="Cambria Math" w:hAnsi="Cambria Math" w:eastAsia="Times New Roman" w:cs="Verdana"/>
                    <w:color w:val="000000" w:themeColor="text1"/>
                    <w:sz w:val="22"/>
                    <w:szCs w:val="22"/>
                    <w:lang w:eastAsia="it-IT"/>
                    <w14:textFill>
                      <w14:solidFill>
                        <w14:schemeClr w14:val="tx1"/>
                      </w14:solidFill>
                    </w14:textFill>
                  </w:rPr>
                  <m:t xml:space="preserve"> IR </m:t>
                </m:r>
                <m:ctrlPr>
                  <w:rPr>
                    <w:rFonts w:ascii="Cambria Math" w:hAnsi="Cambria Math" w:eastAsia="Times New Roman" w:cs="Verdana"/>
                    <w:i/>
                    <w:color w:val="000000" w:themeColor="text1"/>
                    <w:sz w:val="22"/>
                    <w:szCs w:val="22"/>
                    <w:lang w:eastAsia="it-IT"/>
                    <w14:textFill>
                      <w14:solidFill>
                        <w14:schemeClr w14:val="tx1"/>
                      </w14:solidFill>
                    </w14:textFill>
                  </w:rPr>
                </m:ctrlPr>
              </m:e>
            </m:nary>
            <m:ctrlPr>
              <w:rPr>
                <w:rFonts w:ascii="Cambria Math" w:hAnsi="Cambria Math" w:eastAsia="Times New Roman" w:cs="Verdana"/>
                <w:color w:val="000000" w:themeColor="text1"/>
                <w:sz w:val="22"/>
                <w:szCs w:val="22"/>
                <w:lang w:eastAsia="it-IT"/>
                <w14:textFill>
                  <w14:solidFill>
                    <w14:schemeClr w14:val="tx1"/>
                  </w14:solidFill>
                </w14:textFill>
              </w:rPr>
            </m:ctrlPr>
          </m:e>
        </m:d>
        <m:r>
          <m:rPr>
            <m:sty m:val="p"/>
          </m:rPr>
          <w:rPr>
            <w:rFonts w:ascii="Cambria Math" w:hAnsi="Cambria Math" w:eastAsia="Times New Roman" w:cs="Verdana"/>
            <w:color w:val="000000" w:themeColor="text1"/>
            <w:sz w:val="22"/>
            <w:szCs w:val="22"/>
            <w:lang w:eastAsia="it-IT"/>
            <w14:textFill>
              <w14:solidFill>
                <w14:schemeClr w14:val="tx1"/>
              </w14:solidFill>
            </w14:textFill>
          </w:rPr>
          <m:t>∘</m:t>
        </m:r>
        <m:d>
          <m:dPr>
            <m:begChr m:val="["/>
            <m:endChr m:val="]"/>
            <m:ctrlPr>
              <w:rPr>
                <w:rFonts w:ascii="Cambria Math" w:hAnsi="Cambria Math" w:eastAsia="Times New Roman" w:cs="Verdana"/>
                <w:i/>
                <w:color w:val="000000" w:themeColor="text1"/>
                <w:sz w:val="22"/>
                <w:szCs w:val="22"/>
                <w:lang w:eastAsia="it-IT"/>
                <w14:textFill>
                  <w14:solidFill>
                    <w14:schemeClr w14:val="tx1"/>
                  </w14:solidFill>
                </w14:textFill>
              </w:rPr>
            </m:ctrlPr>
          </m:dPr>
          <m:e>
            <m:r>
              <m:rPr/>
              <w:rPr>
                <w:rFonts w:ascii="Cambria Math" w:hAnsi="Cambria Math" w:eastAsia="Times New Roman" w:cs="Verdana"/>
                <w:color w:val="000000" w:themeColor="text1"/>
                <w:sz w:val="22"/>
                <w:szCs w:val="22"/>
                <w:lang w:eastAsia="it-IT"/>
                <w14:textFill>
                  <w14:solidFill>
                    <w14:schemeClr w14:val="tx1"/>
                  </w14:solidFill>
                </w14:textFill>
              </w:rPr>
              <m:t>IL=0=&gt;</m:t>
            </m:r>
            <m:nary>
              <m:naryPr>
                <m:chr m:val="∑"/>
                <m:limLoc m:val="undOvr"/>
                <m:ctrlPr>
                  <w:rPr>
                    <w:rFonts w:ascii="Cambria Math" w:hAnsi="Cambria Math" w:eastAsia="Times New Roman" w:cs="Verdana"/>
                    <w:i/>
                    <w:color w:val="000000" w:themeColor="text1"/>
                    <w:sz w:val="22"/>
                    <w:szCs w:val="22"/>
                    <w:lang w:eastAsia="it-IT"/>
                    <w14:textFill>
                      <w14:solidFill>
                        <w14:schemeClr w14:val="tx1"/>
                      </w14:solidFill>
                    </w14:textFill>
                  </w:rPr>
                </m:ctrlPr>
              </m:naryPr>
              <m:sub>
                <m:r>
                  <m:rPr/>
                  <w:rPr>
                    <w:rFonts w:ascii="Cambria Math" w:hAnsi="Cambria Math" w:eastAsia="Times New Roman" w:cs="Verdana"/>
                    <w:color w:val="000000" w:themeColor="text1"/>
                    <w:sz w:val="22"/>
                    <w:szCs w:val="22"/>
                    <w:lang w:eastAsia="it-IT"/>
                    <w14:textFill>
                      <w14:solidFill>
                        <w14:schemeClr w14:val="tx1"/>
                      </w14:solidFill>
                    </w14:textFill>
                  </w:rPr>
                  <m:t>n=0</m:t>
                </m:r>
                <m:ctrlPr>
                  <w:rPr>
                    <w:rFonts w:ascii="Cambria Math" w:hAnsi="Cambria Math" w:eastAsia="Times New Roman" w:cs="Verdana"/>
                    <w:i/>
                    <w:color w:val="000000" w:themeColor="text1"/>
                    <w:sz w:val="22"/>
                    <w:szCs w:val="22"/>
                    <w:lang w:eastAsia="it-IT"/>
                    <w14:textFill>
                      <w14:solidFill>
                        <w14:schemeClr w14:val="tx1"/>
                      </w14:solidFill>
                    </w14:textFill>
                  </w:rPr>
                </m:ctrlPr>
              </m:sub>
              <m:sup>
                <m:r>
                  <m:rPr/>
                  <w:rPr>
                    <w:rFonts w:ascii="Cambria Math" w:hAnsi="Cambria Math" w:eastAsia="Times New Roman" w:cs="Verdana"/>
                    <w:color w:val="000000" w:themeColor="text1"/>
                    <w:sz w:val="22"/>
                    <w:szCs w:val="22"/>
                    <w:lang w:eastAsia="it-IT"/>
                    <w14:textFill>
                      <w14:solidFill>
                        <w14:schemeClr w14:val="tx1"/>
                      </w14:solidFill>
                    </w14:textFill>
                  </w:rPr>
                  <m:t>∞</m:t>
                </m:r>
                <m:ctrlPr>
                  <w:rPr>
                    <w:rFonts w:ascii="Cambria Math" w:hAnsi="Cambria Math" w:eastAsia="Times New Roman" w:cs="Verdana"/>
                    <w:i/>
                    <w:color w:val="000000" w:themeColor="text1"/>
                    <w:sz w:val="22"/>
                    <w:szCs w:val="22"/>
                    <w:lang w:eastAsia="it-IT"/>
                    <w14:textFill>
                      <w14:solidFill>
                        <w14:schemeClr w14:val="tx1"/>
                      </w14:solidFill>
                    </w14:textFill>
                  </w:rPr>
                </m:ctrlPr>
              </m:sup>
              <m:e>
                <m:r>
                  <m:rPr/>
                  <w:rPr>
                    <w:rFonts w:ascii="Cambria Math" w:hAnsi="Cambria Math" w:eastAsia="Times New Roman" w:cs="Verdana"/>
                    <w:color w:val="000000" w:themeColor="text1"/>
                    <w:sz w:val="22"/>
                    <w:szCs w:val="22"/>
                    <w:lang w:eastAsia="it-IT"/>
                    <w14:textFill>
                      <w14:solidFill>
                        <w14:schemeClr w14:val="tx1"/>
                      </w14:solidFill>
                    </w14:textFill>
                  </w:rPr>
                  <m:t xml:space="preserve">AL </m:t>
                </m:r>
                <m:d>
                  <m:dPr>
                    <m:ctrlPr>
                      <w:rPr>
                        <w:rFonts w:ascii="Cambria Math" w:hAnsi="Cambria Math" w:eastAsia="Times New Roman" w:cs="Verdana"/>
                        <w:i/>
                        <w:color w:val="000000" w:themeColor="text1"/>
                        <w:sz w:val="22"/>
                        <w:szCs w:val="22"/>
                        <w:lang w:eastAsia="it-IT"/>
                        <w14:textFill>
                          <w14:solidFill>
                            <w14:schemeClr w14:val="tx1"/>
                          </w14:solidFill>
                        </w14:textFill>
                      </w:rPr>
                    </m:ctrlPr>
                  </m:dPr>
                  <m:e>
                    <m:r>
                      <m:rPr/>
                      <w:rPr>
                        <w:rFonts w:ascii="Cambria Math" w:hAnsi="Cambria Math" w:eastAsia="Times New Roman" w:cs="Verdana"/>
                        <w:color w:val="000000" w:themeColor="text1"/>
                        <w:sz w:val="22"/>
                        <w:szCs w:val="22"/>
                        <w:lang w:eastAsia="it-IT"/>
                        <w14:textFill>
                          <w14:solidFill>
                            <w14:schemeClr w14:val="tx1"/>
                          </w14:solidFill>
                        </w14:textFill>
                      </w:rPr>
                      <m:t>n</m:t>
                    </m:r>
                    <m:ctrlPr>
                      <w:rPr>
                        <w:rFonts w:ascii="Cambria Math" w:hAnsi="Cambria Math" w:eastAsia="Times New Roman" w:cs="Verdana"/>
                        <w:i/>
                        <w:color w:val="000000" w:themeColor="text1"/>
                        <w:sz w:val="22"/>
                        <w:szCs w:val="22"/>
                        <w:lang w:eastAsia="it-IT"/>
                        <w14:textFill>
                          <w14:solidFill>
                            <w14:schemeClr w14:val="tx1"/>
                          </w14:solidFill>
                        </w14:textFill>
                      </w:rPr>
                    </m:ctrlPr>
                  </m:e>
                </m:d>
                <m:ctrlPr>
                  <w:rPr>
                    <w:rFonts w:ascii="Cambria Math" w:hAnsi="Cambria Math" w:eastAsia="Times New Roman" w:cs="Verdana"/>
                    <w:i/>
                    <w:color w:val="000000" w:themeColor="text1"/>
                    <w:sz w:val="22"/>
                    <w:szCs w:val="22"/>
                    <w:lang w:eastAsia="it-IT"/>
                    <w14:textFill>
                      <w14:solidFill>
                        <w14:schemeClr w14:val="tx1"/>
                      </w14:solidFill>
                    </w14:textFill>
                  </w:rPr>
                </m:ctrlPr>
              </m:e>
            </m:nary>
            <m:ctrlPr>
              <w:rPr>
                <w:rFonts w:ascii="Cambria Math" w:hAnsi="Cambria Math" w:eastAsia="Times New Roman" w:cs="Verdana"/>
                <w:i/>
                <w:color w:val="000000" w:themeColor="text1"/>
                <w:sz w:val="22"/>
                <w:szCs w:val="22"/>
                <w:lang w:eastAsia="it-IT"/>
                <w14:textFill>
                  <w14:solidFill>
                    <w14:schemeClr w14:val="tx1"/>
                  </w14:solidFill>
                </w14:textFill>
              </w:rPr>
            </m:ctrlPr>
          </m:e>
        </m:d>
        <m:r>
          <m:rPr/>
          <w:rPr>
            <w:rFonts w:ascii="Cambria Math" w:hAnsi="Cambria Math" w:eastAsia="Times New Roman" w:cs="Verdana"/>
            <w:color w:val="000000" w:themeColor="text1"/>
            <w:sz w:val="22"/>
            <w:szCs w:val="22"/>
            <w:lang w:eastAsia="it-IT"/>
            <w14:textFill>
              <w14:solidFill>
                <w14:schemeClr w14:val="tx1"/>
              </w14:solidFill>
            </w14:textFill>
          </w:rPr>
          <m:t xml:space="preserve"> </m:t>
        </m:r>
        <m:r>
          <m:rPr>
            <m:sty m:val="p"/>
          </m:rPr>
          <w:rPr>
            <w:rFonts w:ascii="Cambria Math" w:hAnsi="Cambria Math" w:eastAsia="Times New Roman" w:cs="Verdana"/>
            <w:color w:val="000000" w:themeColor="text1"/>
            <w:sz w:val="22"/>
            <w:szCs w:val="22"/>
            <w:lang w:eastAsia="it-IT"/>
            <w14:textFill>
              <w14:solidFill>
                <w14:schemeClr w14:val="tx1"/>
              </w14:solidFill>
            </w14:textFill>
          </w:rPr>
          <m:t>∘</m:t>
        </m:r>
        <m:d>
          <m:dPr>
            <m:begChr m:val="{"/>
            <m:endChr m:val=""/>
            <m:ctrlPr>
              <w:rPr>
                <w:rFonts w:ascii="Cambria Math" w:hAnsi="Cambria Math" w:eastAsia="Times New Roman" w:cs="Verdana"/>
                <w:i/>
                <w:color w:val="000000" w:themeColor="text1"/>
                <w:sz w:val="22"/>
                <w:szCs w:val="22"/>
                <w:lang w:eastAsia="it-IT"/>
                <w14:textFill>
                  <w14:solidFill>
                    <w14:schemeClr w14:val="tx1"/>
                  </w14:solidFill>
                </w14:textFill>
              </w:rPr>
            </m:ctrlPr>
          </m:dPr>
          <m:e>
            <m:r>
              <m:rPr/>
              <w:rPr>
                <w:rFonts w:ascii="Cambria Math" w:hAnsi="Cambria Math" w:eastAsia="Times New Roman" w:cs="Verdana"/>
                <w:color w:val="000000" w:themeColor="text1"/>
                <w:sz w:val="22"/>
                <w:szCs w:val="22"/>
                <w:lang w:eastAsia="it-IT"/>
                <w14:textFill>
                  <w14:solidFill>
                    <w14:schemeClr w14:val="tx1"/>
                  </w14:solidFill>
                </w14:textFill>
              </w:rPr>
              <m:t>AL≈0=&gt;</m:t>
            </m:r>
            <m:nary>
              <m:naryPr>
                <m:chr m:val="∑"/>
                <m:limLoc m:val="undOvr"/>
                <m:ctrlPr>
                  <w:rPr>
                    <w:rFonts w:ascii="Cambria Math" w:hAnsi="Cambria Math" w:eastAsia="Times New Roman" w:cs="Verdana"/>
                    <w:i/>
                    <w:color w:val="000000" w:themeColor="text1"/>
                    <w:sz w:val="22"/>
                    <w:szCs w:val="22"/>
                    <w:lang w:eastAsia="it-IT"/>
                    <w14:textFill>
                      <w14:solidFill>
                        <w14:schemeClr w14:val="tx1"/>
                      </w14:solidFill>
                    </w14:textFill>
                  </w:rPr>
                </m:ctrlPr>
              </m:naryPr>
              <m:sub>
                <m:r>
                  <m:rPr/>
                  <w:rPr>
                    <w:rFonts w:ascii="Cambria Math" w:hAnsi="Cambria Math" w:eastAsia="Times New Roman" w:cs="Verdana"/>
                    <w:color w:val="000000" w:themeColor="text1"/>
                    <w:sz w:val="22"/>
                    <w:szCs w:val="22"/>
                    <w:lang w:eastAsia="it-IT"/>
                    <w14:textFill>
                      <w14:solidFill>
                        <w14:schemeClr w14:val="tx1"/>
                      </w14:solidFill>
                    </w14:textFill>
                  </w:rPr>
                  <m:t>n=0</m:t>
                </m:r>
                <m:ctrlPr>
                  <w:rPr>
                    <w:rFonts w:ascii="Cambria Math" w:hAnsi="Cambria Math" w:eastAsia="Times New Roman" w:cs="Verdana"/>
                    <w:i/>
                    <w:color w:val="000000" w:themeColor="text1"/>
                    <w:sz w:val="22"/>
                    <w:szCs w:val="22"/>
                    <w:lang w:eastAsia="it-IT"/>
                    <w14:textFill>
                      <w14:solidFill>
                        <w14:schemeClr w14:val="tx1"/>
                      </w14:solidFill>
                    </w14:textFill>
                  </w:rPr>
                </m:ctrlPr>
              </m:sub>
              <m:sup>
                <m:r>
                  <m:rPr/>
                  <w:rPr>
                    <w:rFonts w:ascii="Cambria Math" w:hAnsi="Cambria Math" w:eastAsia="Times New Roman" w:cs="Verdana"/>
                    <w:color w:val="000000" w:themeColor="text1"/>
                    <w:sz w:val="22"/>
                    <w:szCs w:val="22"/>
                    <w:lang w:eastAsia="it-IT"/>
                    <w14:textFill>
                      <w14:solidFill>
                        <w14:schemeClr w14:val="tx1"/>
                      </w14:solidFill>
                    </w14:textFill>
                  </w:rPr>
                  <m:t>∞</m:t>
                </m:r>
                <m:ctrlPr>
                  <w:rPr>
                    <w:rFonts w:ascii="Cambria Math" w:hAnsi="Cambria Math" w:eastAsia="Times New Roman" w:cs="Verdana"/>
                    <w:i/>
                    <w:color w:val="000000" w:themeColor="text1"/>
                    <w:sz w:val="22"/>
                    <w:szCs w:val="22"/>
                    <w:lang w:eastAsia="it-IT"/>
                    <w14:textFill>
                      <w14:solidFill>
                        <w14:schemeClr w14:val="tx1"/>
                      </w14:solidFill>
                    </w14:textFill>
                  </w:rPr>
                </m:ctrlPr>
              </m:sup>
              <m:e>
                <m:r>
                  <m:rPr/>
                  <w:rPr>
                    <w:rFonts w:ascii="Cambria Math" w:hAnsi="Cambria Math" w:eastAsia="Times New Roman" w:cs="Verdana"/>
                    <w:color w:val="000000" w:themeColor="text1"/>
                    <w:sz w:val="22"/>
                    <w:szCs w:val="22"/>
                    <w:lang w:eastAsia="it-IT"/>
                    <w14:textFill>
                      <w14:solidFill>
                        <w14:schemeClr w14:val="tx1"/>
                      </w14:solidFill>
                    </w14:textFill>
                  </w:rPr>
                  <m:t xml:space="preserve">AI </m:t>
                </m:r>
                <m:d>
                  <m:dPr>
                    <m:ctrlPr>
                      <w:rPr>
                        <w:rFonts w:ascii="Cambria Math" w:hAnsi="Cambria Math" w:eastAsia="Times New Roman" w:cs="Verdana"/>
                        <w:i/>
                        <w:color w:val="000000" w:themeColor="text1"/>
                        <w:sz w:val="22"/>
                        <w:szCs w:val="22"/>
                        <w:lang w:eastAsia="it-IT"/>
                        <w14:textFill>
                          <w14:solidFill>
                            <w14:schemeClr w14:val="tx1"/>
                          </w14:solidFill>
                        </w14:textFill>
                      </w:rPr>
                    </m:ctrlPr>
                  </m:dPr>
                  <m:e>
                    <m:r>
                      <m:rPr/>
                      <w:rPr>
                        <w:rFonts w:ascii="Cambria Math" w:hAnsi="Cambria Math" w:eastAsia="Times New Roman" w:cs="Verdana"/>
                        <w:color w:val="000000" w:themeColor="text1"/>
                        <w:sz w:val="22"/>
                        <w:szCs w:val="22"/>
                        <w:lang w:eastAsia="it-IT"/>
                        <w14:textFill>
                          <w14:solidFill>
                            <w14:schemeClr w14:val="tx1"/>
                          </w14:solidFill>
                        </w14:textFill>
                      </w:rPr>
                      <m:t>n</m:t>
                    </m:r>
                    <m:ctrlPr>
                      <w:rPr>
                        <w:rFonts w:ascii="Cambria Math" w:hAnsi="Cambria Math" w:eastAsia="Times New Roman" w:cs="Verdana"/>
                        <w:i/>
                        <w:color w:val="000000" w:themeColor="text1"/>
                        <w:sz w:val="22"/>
                        <w:szCs w:val="22"/>
                        <w:lang w:eastAsia="it-IT"/>
                        <w14:textFill>
                          <w14:solidFill>
                            <w14:schemeClr w14:val="tx1"/>
                          </w14:solidFill>
                        </w14:textFill>
                      </w:rPr>
                    </m:ctrlPr>
                  </m:e>
                </m:d>
                <m:ctrlPr>
                  <w:rPr>
                    <w:rFonts w:ascii="Cambria Math" w:hAnsi="Cambria Math" w:eastAsia="Times New Roman" w:cs="Verdana"/>
                    <w:i/>
                    <w:color w:val="000000" w:themeColor="text1"/>
                    <w:sz w:val="22"/>
                    <w:szCs w:val="22"/>
                    <w:lang w:eastAsia="it-IT"/>
                    <w14:textFill>
                      <w14:solidFill>
                        <w14:schemeClr w14:val="tx1"/>
                      </w14:solidFill>
                    </w14:textFill>
                  </w:rPr>
                </m:ctrlPr>
              </m:e>
            </m:nary>
            <m:ctrlPr>
              <w:rPr>
                <w:rFonts w:ascii="Cambria Math" w:hAnsi="Cambria Math" w:eastAsia="Times New Roman" w:cs="Verdana"/>
                <w:i/>
                <w:color w:val="000000" w:themeColor="text1"/>
                <w:sz w:val="22"/>
                <w:szCs w:val="22"/>
                <w:lang w:eastAsia="it-IT"/>
                <w14:textFill>
                  <w14:solidFill>
                    <w14:schemeClr w14:val="tx1"/>
                  </w14:solidFill>
                </w14:textFill>
              </w:rPr>
            </m:ctrlPr>
          </m:e>
        </m:d>
      </m:oMath>
      <w:r>
        <w:rPr>
          <w:rFonts w:ascii="Verdana" w:hAnsi="Verdana" w:eastAsia="Times New Roman" w:cs="Verdana"/>
          <w:color w:val="000000" w:themeColor="text1"/>
          <w:sz w:val="22"/>
          <w:szCs w:val="22"/>
          <w:lang w:eastAsia="it-IT"/>
          <w14:textFill>
            <w14:solidFill>
              <w14:schemeClr w14:val="tx1"/>
            </w14:solidFill>
          </w14:textFill>
        </w:rPr>
        <w:t>}</w:t>
      </w:r>
    </w:p>
    <w:p>
      <w:pPr>
        <w:jc w:val="both"/>
        <w:rPr>
          <w:rFonts w:ascii="Verdana" w:hAnsi="Verdana" w:eastAsia="Times New Roman" w:cs="Verdana"/>
          <w:color w:val="000000" w:themeColor="text1"/>
          <w:sz w:val="22"/>
          <w:szCs w:val="22"/>
          <w:lang w:eastAsia="it-IT"/>
          <w14:textFill>
            <w14:solidFill>
              <w14:schemeClr w14:val="tx1"/>
            </w14:solidFill>
          </w14:textFill>
        </w:rPr>
      </w:pPr>
    </w:p>
    <w:p>
      <w:p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Inseriamo ora le interpretazioni utilizzate per affrontare il caso sottoposto alle Sezioni Unite:</w:t>
      </w:r>
    </w:p>
    <w:p>
      <w:p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 xml:space="preserve">IP = 0 ∧ 0 ∘ [IL = 0 =&gt;(0)] ∘ [AL ≈ 0 =&gt; (AI.1 + AI.2 + AI.3 – AI.1 + AI.4 - AI.2 – AI.3)] </w:t>
      </w:r>
    </w:p>
    <w:p>
      <w:pPr>
        <w:jc w:val="both"/>
        <w:rPr>
          <w:rFonts w:ascii="Verdana" w:hAnsi="Verdana" w:eastAsia="Times New Roman" w:cs="Verdana"/>
          <w:color w:val="000000" w:themeColor="text1"/>
          <w:sz w:val="22"/>
          <w:szCs w:val="22"/>
          <w:lang w:eastAsia="it-IT"/>
          <w14:textFill>
            <w14:solidFill>
              <w14:schemeClr w14:val="tx1"/>
            </w14:solidFill>
          </w14:textFill>
        </w:rPr>
      </w:pPr>
    </w:p>
    <w:p>
      <w:p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Procediamo a semplificare:</w:t>
      </w:r>
    </w:p>
    <w:p>
      <w:p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IP = 0 ∧ 0 ∘ [IL = 0 =&gt;(0)] ∘ [AL ≈ 0 =&gt; (</w:t>
      </w:r>
      <w:r>
        <w:rPr>
          <w:rFonts w:ascii="Verdana" w:hAnsi="Verdana" w:eastAsia="Times New Roman" w:cs="Verdana"/>
          <w:strike/>
          <w:color w:val="000000" w:themeColor="text1"/>
          <w:sz w:val="22"/>
          <w:szCs w:val="22"/>
          <w:lang w:eastAsia="it-IT"/>
          <w14:textFill>
            <w14:solidFill>
              <w14:schemeClr w14:val="tx1"/>
            </w14:solidFill>
          </w14:textFill>
        </w:rPr>
        <w:t>AI.1</w:t>
      </w:r>
      <w:r>
        <w:rPr>
          <w:rFonts w:ascii="Verdana" w:hAnsi="Verdana" w:eastAsia="Times New Roman" w:cs="Verdana"/>
          <w:color w:val="000000" w:themeColor="text1"/>
          <w:sz w:val="22"/>
          <w:szCs w:val="22"/>
          <w:lang w:eastAsia="it-IT"/>
          <w14:textFill>
            <w14:solidFill>
              <w14:schemeClr w14:val="tx1"/>
            </w14:solidFill>
          </w14:textFill>
        </w:rPr>
        <w:t xml:space="preserve"> + </w:t>
      </w:r>
      <w:r>
        <w:rPr>
          <w:rFonts w:ascii="Verdana" w:hAnsi="Verdana" w:eastAsia="Times New Roman" w:cs="Verdana"/>
          <w:strike/>
          <w:color w:val="000000" w:themeColor="text1"/>
          <w:sz w:val="22"/>
          <w:szCs w:val="22"/>
          <w:lang w:eastAsia="it-IT"/>
          <w14:textFill>
            <w14:solidFill>
              <w14:schemeClr w14:val="tx1"/>
            </w14:solidFill>
          </w14:textFill>
        </w:rPr>
        <w:t>AI.2</w:t>
      </w:r>
      <w:r>
        <w:rPr>
          <w:rFonts w:ascii="Verdana" w:hAnsi="Verdana" w:eastAsia="Times New Roman" w:cs="Verdana"/>
          <w:color w:val="000000" w:themeColor="text1"/>
          <w:sz w:val="22"/>
          <w:szCs w:val="22"/>
          <w:lang w:eastAsia="it-IT"/>
          <w14:textFill>
            <w14:solidFill>
              <w14:schemeClr w14:val="tx1"/>
            </w14:solidFill>
          </w14:textFill>
        </w:rPr>
        <w:t xml:space="preserve"> </w:t>
      </w:r>
      <w:r>
        <w:rPr>
          <w:rFonts w:ascii="Verdana" w:hAnsi="Verdana" w:eastAsia="Times New Roman" w:cs="Verdana"/>
          <w:strike/>
          <w:color w:val="000000" w:themeColor="text1"/>
          <w:sz w:val="22"/>
          <w:szCs w:val="22"/>
          <w:lang w:eastAsia="it-IT"/>
          <w14:textFill>
            <w14:solidFill>
              <w14:schemeClr w14:val="tx1"/>
            </w14:solidFill>
          </w14:textFill>
        </w:rPr>
        <w:t>+ AI.3</w:t>
      </w:r>
      <w:r>
        <w:rPr>
          <w:rFonts w:ascii="Verdana" w:hAnsi="Verdana" w:eastAsia="Times New Roman" w:cs="Verdana"/>
          <w:color w:val="000000" w:themeColor="text1"/>
          <w:sz w:val="22"/>
          <w:szCs w:val="22"/>
          <w:lang w:eastAsia="it-IT"/>
          <w14:textFill>
            <w14:solidFill>
              <w14:schemeClr w14:val="tx1"/>
            </w14:solidFill>
          </w14:textFill>
        </w:rPr>
        <w:t xml:space="preserve"> </w:t>
      </w:r>
      <w:r>
        <w:rPr>
          <w:rFonts w:ascii="Verdana" w:hAnsi="Verdana" w:eastAsia="Times New Roman" w:cs="Verdana"/>
          <w:strike/>
          <w:color w:val="000000" w:themeColor="text1"/>
          <w:sz w:val="22"/>
          <w:szCs w:val="22"/>
          <w:lang w:eastAsia="it-IT"/>
          <w14:textFill>
            <w14:solidFill>
              <w14:schemeClr w14:val="tx1"/>
            </w14:solidFill>
          </w14:textFill>
        </w:rPr>
        <w:t>– AI.1</w:t>
      </w:r>
      <w:r>
        <w:rPr>
          <w:rFonts w:ascii="Verdana" w:hAnsi="Verdana" w:eastAsia="Times New Roman" w:cs="Verdana"/>
          <w:color w:val="000000" w:themeColor="text1"/>
          <w:sz w:val="22"/>
          <w:szCs w:val="22"/>
          <w:lang w:eastAsia="it-IT"/>
          <w14:textFill>
            <w14:solidFill>
              <w14:schemeClr w14:val="tx1"/>
            </w14:solidFill>
          </w14:textFill>
        </w:rPr>
        <w:t xml:space="preserve"> + AI.4 </w:t>
      </w:r>
      <w:r>
        <w:rPr>
          <w:rFonts w:ascii="Verdana" w:hAnsi="Verdana" w:eastAsia="Times New Roman" w:cs="Verdana"/>
          <w:strike/>
          <w:color w:val="000000" w:themeColor="text1"/>
          <w:sz w:val="22"/>
          <w:szCs w:val="22"/>
          <w:lang w:eastAsia="it-IT"/>
          <w14:textFill>
            <w14:solidFill>
              <w14:schemeClr w14:val="tx1"/>
            </w14:solidFill>
          </w14:textFill>
        </w:rPr>
        <w:t>- AI.2</w:t>
      </w:r>
      <w:r>
        <w:rPr>
          <w:rFonts w:ascii="Verdana" w:hAnsi="Verdana" w:eastAsia="Times New Roman" w:cs="Verdana"/>
          <w:color w:val="000000" w:themeColor="text1"/>
          <w:sz w:val="22"/>
          <w:szCs w:val="22"/>
          <w:lang w:eastAsia="it-IT"/>
          <w14:textFill>
            <w14:solidFill>
              <w14:schemeClr w14:val="tx1"/>
            </w14:solidFill>
          </w14:textFill>
        </w:rPr>
        <w:t xml:space="preserve"> </w:t>
      </w:r>
      <w:r>
        <w:rPr>
          <w:rFonts w:ascii="Verdana" w:hAnsi="Verdana" w:eastAsia="Times New Roman" w:cs="Verdana"/>
          <w:strike/>
          <w:color w:val="000000" w:themeColor="text1"/>
          <w:sz w:val="22"/>
          <w:szCs w:val="22"/>
          <w:lang w:eastAsia="it-IT"/>
          <w14:textFill>
            <w14:solidFill>
              <w14:schemeClr w14:val="tx1"/>
            </w14:solidFill>
          </w14:textFill>
        </w:rPr>
        <w:t>– AI.3</w:t>
      </w:r>
      <w:r>
        <w:rPr>
          <w:rFonts w:ascii="Verdana" w:hAnsi="Verdana" w:eastAsia="Times New Roman" w:cs="Verdana"/>
          <w:color w:val="000000" w:themeColor="text1"/>
          <w:sz w:val="22"/>
          <w:szCs w:val="22"/>
          <w:lang w:eastAsia="it-IT"/>
          <w14:textFill>
            <w14:solidFill>
              <w14:schemeClr w14:val="tx1"/>
            </w14:solidFill>
          </w14:textFill>
        </w:rPr>
        <w:t xml:space="preserve">)] </w:t>
      </w:r>
    </w:p>
    <w:p>
      <w:p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Ne segue che:</w:t>
      </w:r>
    </w:p>
    <w:p>
      <w:p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IP = AI.4</w:t>
      </w:r>
    </w:p>
    <w:p>
      <w:pPr>
        <w:jc w:val="both"/>
        <w:rPr>
          <w:rFonts w:ascii="Verdana" w:hAnsi="Verdana" w:eastAsia="Times New Roman" w:cs="Verdana"/>
          <w:color w:val="000000" w:themeColor="text1"/>
          <w:sz w:val="22"/>
          <w:szCs w:val="22"/>
          <w:lang w:eastAsia="it-IT"/>
          <w14:textFill>
            <w14:solidFill>
              <w14:schemeClr w14:val="tx1"/>
            </w14:solidFill>
          </w14:textFill>
        </w:rPr>
      </w:pPr>
    </w:p>
    <w:p>
      <w:p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Per la formula sull’interpretazione giuridica il danno tanatologico non è risarcibile.</w:t>
      </w:r>
    </w:p>
    <w:p>
      <w:pPr>
        <w:pStyle w:val="18"/>
        <w:widowControl/>
        <w:shd w:val="clear" w:color="auto" w:fill="FFFFFF"/>
        <w:spacing w:afterAutospacing="1"/>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La Cassazione a Sezioni Unite con la pronuncia 15350/2015 perviene allo stesso identico risultato</w:t>
      </w:r>
      <w:r>
        <w:rPr>
          <w:rStyle w:val="13"/>
          <w:rFonts w:ascii="Verdana" w:hAnsi="Verdana" w:eastAsia="Times New Roman" w:cs="Verdana"/>
          <w:color w:val="000000" w:themeColor="text1"/>
          <w:sz w:val="22"/>
          <w:szCs w:val="22"/>
          <w:lang w:eastAsia="it-IT"/>
          <w14:textFill>
            <w14:solidFill>
              <w14:schemeClr w14:val="tx1"/>
            </w14:solidFill>
          </w14:textFill>
        </w:rPr>
        <w:footnoteReference w:id="47"/>
      </w:r>
      <w:r>
        <w:rPr>
          <w:rFonts w:ascii="Verdana" w:hAnsi="Verdana" w:eastAsia="Times New Roman" w:cs="Verdana"/>
          <w:color w:val="000000" w:themeColor="text1"/>
          <w:sz w:val="22"/>
          <w:szCs w:val="22"/>
          <w:lang w:eastAsia="it-IT"/>
          <w14:textFill>
            <w14:solidFill>
              <w14:schemeClr w14:val="tx1"/>
            </w14:solidFill>
          </w14:textFill>
        </w:rPr>
        <w:t xml:space="preserve">.  </w:t>
      </w:r>
    </w:p>
    <w:p>
      <w:pPr>
        <w:pStyle w:val="18"/>
        <w:widowControl/>
        <w:shd w:val="clear" w:color="auto" w:fill="FFFFFF"/>
        <w:spacing w:afterAutospacing="1"/>
        <w:rPr>
          <w:rFonts w:ascii="Verdana" w:hAnsi="Verdana" w:eastAsia="Times New Roman" w:cs="Verdana"/>
          <w:color w:val="000000" w:themeColor="text1"/>
          <w:sz w:val="22"/>
          <w:szCs w:val="22"/>
          <w:lang w:eastAsia="it-IT"/>
          <w14:textFill>
            <w14:solidFill>
              <w14:schemeClr w14:val="tx1"/>
            </w14:solidFill>
          </w14:textFill>
        </w:rPr>
      </w:pPr>
    </w:p>
    <w:p>
      <w:pPr>
        <w:numPr>
          <w:ilvl w:val="0"/>
          <w:numId w:val="3"/>
        </w:numPr>
        <w:jc w:val="both"/>
        <w:rPr>
          <w:rFonts w:ascii="Verdana" w:hAnsi="Verdana" w:eastAsia="Times New Roman" w:cs="Verdana"/>
          <w:b/>
          <w:bCs/>
          <w:color w:val="000000" w:themeColor="text1"/>
          <w:sz w:val="22"/>
          <w:szCs w:val="22"/>
          <w:lang w:val="en-US" w:eastAsia="it-IT"/>
          <w14:textFill>
            <w14:solidFill>
              <w14:schemeClr w14:val="tx1"/>
            </w14:solidFill>
          </w14:textFill>
        </w:rPr>
      </w:pPr>
      <w:r>
        <w:rPr>
          <w:rFonts w:ascii="Verdana" w:hAnsi="Verdana" w:eastAsia="Times New Roman" w:cs="Verdana"/>
          <w:b/>
          <w:bCs/>
          <w:color w:val="000000" w:themeColor="text1"/>
          <w:sz w:val="22"/>
          <w:szCs w:val="22"/>
          <w:lang w:val="en-US" w:eastAsia="it-IT"/>
          <w14:textFill>
            <w14:solidFill>
              <w14:schemeClr w14:val="tx1"/>
            </w14:solidFill>
          </w14:textFill>
        </w:rPr>
        <w:t>Conclusioni</w:t>
      </w:r>
    </w:p>
    <w:p>
      <w:pPr>
        <w:jc w:val="both"/>
        <w:rPr>
          <w:rFonts w:ascii="Verdana" w:hAnsi="Verdana" w:eastAsia="Times New Roman" w:cs="Verdana"/>
          <w:b/>
          <w:bCs/>
          <w:color w:val="000000" w:themeColor="text1"/>
          <w:sz w:val="22"/>
          <w:szCs w:val="22"/>
          <w:lang w:val="en-US" w:eastAsia="it-IT"/>
          <w14:textFill>
            <w14:solidFill>
              <w14:schemeClr w14:val="tx1"/>
            </w14:solidFill>
          </w14:textFill>
        </w:rPr>
      </w:pPr>
    </w:p>
    <w:p>
      <w:p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Dopo quanto evidenziato, sia con riguardo al fatto che al diritto, possiamo allora dire che</w:t>
      </w:r>
    </w:p>
    <w:p>
      <w:p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-se PG : F --&gt; D</w:t>
      </w:r>
    </w:p>
    <w:p>
      <w:p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 xml:space="preserve">-laddove F è una semplificazione di FP  ≡ 1 &lt;=&gt; (VPAfc) (∑pfc) &gt; (VPAfnc) (∑pfnc) </w:t>
      </w:r>
    </w:p>
    <w:p>
      <w:p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 xml:space="preserve">-laddove D è una semplificazione di IP = </w:t>
      </w:r>
      <m:oMath>
        <m:d>
          <m:dPr>
            <m:ctrlPr>
              <w:rPr>
                <w:rFonts w:ascii="Cambria Math" w:hAnsi="Cambria Math" w:eastAsia="Times New Roman" w:cs="Verdana"/>
                <w:i/>
                <w:color w:val="000000" w:themeColor="text1"/>
                <w:sz w:val="22"/>
                <w:szCs w:val="22"/>
                <w:lang w:eastAsia="it-IT"/>
                <w14:textFill>
                  <w14:solidFill>
                    <w14:schemeClr w14:val="tx1"/>
                  </w14:solidFill>
                </w14:textFill>
              </w:rPr>
            </m:ctrlPr>
          </m:dPr>
          <m:e>
            <m:nary>
              <m:naryPr>
                <m:chr m:val="∑"/>
                <m:limLoc m:val="undOvr"/>
                <m:ctrlPr>
                  <w:rPr>
                    <w:rFonts w:ascii="Cambria Math" w:hAnsi="Cambria Math" w:eastAsia="Times New Roman" w:cs="Verdana"/>
                    <w:i/>
                    <w:color w:val="000000" w:themeColor="text1"/>
                    <w:sz w:val="22"/>
                    <w:szCs w:val="22"/>
                    <w:lang w:eastAsia="it-IT"/>
                    <w14:textFill>
                      <w14:solidFill>
                        <w14:schemeClr w14:val="tx1"/>
                      </w14:solidFill>
                    </w14:textFill>
                  </w:rPr>
                </m:ctrlPr>
              </m:naryPr>
              <m:sub>
                <m:r>
                  <m:rPr/>
                  <w:rPr>
                    <w:rFonts w:ascii="Cambria Math" w:hAnsi="Cambria Math" w:eastAsia="Times New Roman" w:cs="Verdana"/>
                    <w:color w:val="000000" w:themeColor="text1"/>
                    <w:sz w:val="22"/>
                    <w:szCs w:val="22"/>
                    <w:lang w:eastAsia="it-IT"/>
                    <w14:textFill>
                      <w14:solidFill>
                        <w14:schemeClr w14:val="tx1"/>
                      </w14:solidFill>
                    </w14:textFill>
                  </w:rPr>
                  <m:t>n=0</m:t>
                </m:r>
                <m:ctrlPr>
                  <w:rPr>
                    <w:rFonts w:ascii="Cambria Math" w:hAnsi="Cambria Math" w:eastAsia="Times New Roman" w:cs="Verdana"/>
                    <w:i/>
                    <w:color w:val="000000" w:themeColor="text1"/>
                    <w:sz w:val="22"/>
                    <w:szCs w:val="22"/>
                    <w:lang w:eastAsia="it-IT"/>
                    <w14:textFill>
                      <w14:solidFill>
                        <w14:schemeClr w14:val="tx1"/>
                      </w14:solidFill>
                    </w14:textFill>
                  </w:rPr>
                </m:ctrlPr>
              </m:sub>
              <m:sup>
                <m:r>
                  <m:rPr/>
                  <w:rPr>
                    <w:rFonts w:ascii="Cambria Math" w:hAnsi="Cambria Math" w:eastAsia="Times New Roman" w:cs="Verdana"/>
                    <w:color w:val="000000" w:themeColor="text1"/>
                    <w:sz w:val="22"/>
                    <w:szCs w:val="22"/>
                    <w:lang w:eastAsia="it-IT"/>
                    <w14:textFill>
                      <w14:solidFill>
                        <w14:schemeClr w14:val="tx1"/>
                      </w14:solidFill>
                    </w14:textFill>
                  </w:rPr>
                  <m:t>∞</m:t>
                </m:r>
                <m:ctrlPr>
                  <w:rPr>
                    <w:rFonts w:ascii="Cambria Math" w:hAnsi="Cambria Math" w:eastAsia="Times New Roman" w:cs="Verdana"/>
                    <w:i/>
                    <w:color w:val="000000" w:themeColor="text1"/>
                    <w:sz w:val="22"/>
                    <w:szCs w:val="22"/>
                    <w:lang w:eastAsia="it-IT"/>
                    <w14:textFill>
                      <w14:solidFill>
                        <w14:schemeClr w14:val="tx1"/>
                      </w14:solidFill>
                    </w14:textFill>
                  </w:rPr>
                </m:ctrlPr>
              </m:sup>
              <m:e>
                <m:r>
                  <m:rPr/>
                  <w:rPr>
                    <w:rFonts w:ascii="Cambria Math" w:hAnsi="Cambria Math" w:eastAsia="Times New Roman" w:cs="Verdana"/>
                    <w:color w:val="000000" w:themeColor="text1"/>
                    <w:sz w:val="22"/>
                    <w:szCs w:val="22"/>
                    <w:lang w:eastAsia="it-IT"/>
                    <w14:textFill>
                      <w14:solidFill>
                        <w14:schemeClr w14:val="tx1"/>
                      </w14:solidFill>
                    </w14:textFill>
                  </w:rPr>
                  <m:t>IL</m:t>
                </m:r>
                <m:ctrlPr>
                  <w:rPr>
                    <w:rFonts w:ascii="Cambria Math" w:hAnsi="Cambria Math" w:eastAsia="Times New Roman" w:cs="Verdana"/>
                    <w:i/>
                    <w:color w:val="000000" w:themeColor="text1"/>
                    <w:sz w:val="22"/>
                    <w:szCs w:val="22"/>
                    <w:lang w:eastAsia="it-IT"/>
                    <w14:textFill>
                      <w14:solidFill>
                        <w14:schemeClr w14:val="tx1"/>
                      </w14:solidFill>
                    </w14:textFill>
                  </w:rPr>
                </m:ctrlPr>
              </m:e>
            </m:nary>
            <m:d>
              <m:dPr>
                <m:ctrlPr>
                  <w:rPr>
                    <w:rFonts w:ascii="Cambria Math" w:hAnsi="Cambria Math" w:eastAsia="Times New Roman" w:cs="Verdana"/>
                    <w:i/>
                    <w:color w:val="000000" w:themeColor="text1"/>
                    <w:sz w:val="22"/>
                    <w:szCs w:val="22"/>
                    <w:lang w:eastAsia="it-IT"/>
                    <w14:textFill>
                      <w14:solidFill>
                        <w14:schemeClr w14:val="tx1"/>
                      </w14:solidFill>
                    </w14:textFill>
                  </w:rPr>
                </m:ctrlPr>
              </m:dPr>
              <m:e>
                <m:r>
                  <m:rPr/>
                  <w:rPr>
                    <w:rFonts w:ascii="Cambria Math" w:hAnsi="Cambria Math" w:eastAsia="Times New Roman" w:cs="Verdana"/>
                    <w:color w:val="000000" w:themeColor="text1"/>
                    <w:sz w:val="22"/>
                    <w:szCs w:val="22"/>
                    <w:lang w:eastAsia="it-IT"/>
                    <w14:textFill>
                      <w14:solidFill>
                        <w14:schemeClr w14:val="tx1"/>
                      </w14:solidFill>
                    </w14:textFill>
                  </w:rPr>
                  <m:t>n</m:t>
                </m:r>
                <m:ctrlPr>
                  <w:rPr>
                    <w:rFonts w:ascii="Cambria Math" w:hAnsi="Cambria Math" w:eastAsia="Times New Roman" w:cs="Verdana"/>
                    <w:i/>
                    <w:color w:val="000000" w:themeColor="text1"/>
                    <w:sz w:val="22"/>
                    <w:szCs w:val="22"/>
                    <w:lang w:eastAsia="it-IT"/>
                    <w14:textFill>
                      <w14:solidFill>
                        <w14:schemeClr w14:val="tx1"/>
                      </w14:solidFill>
                    </w14:textFill>
                  </w:rPr>
                </m:ctrlPr>
              </m:e>
            </m:d>
            <m:r>
              <m:rPr/>
              <w:rPr>
                <w:rFonts w:ascii="Cambria Math" w:hAnsi="Cambria Math" w:eastAsia="Times New Roman" w:cs="Verdana"/>
                <w:color w:val="000000" w:themeColor="text1"/>
                <w:sz w:val="22"/>
                <w:szCs w:val="22"/>
                <w:lang w:eastAsia="it-IT"/>
                <w14:textFill>
                  <w14:solidFill>
                    <w14:schemeClr w14:val="tx1"/>
                  </w14:solidFill>
                </w14:textFill>
              </w:rPr>
              <m:t xml:space="preserve"> </m:t>
            </m:r>
            <m:r>
              <m:rPr>
                <m:sty m:val="p"/>
              </m:rPr>
              <w:rPr>
                <w:rFonts w:ascii="Cambria Math" w:hAnsi="Cambria Math" w:eastAsia="Times New Roman" w:cs="Verdana"/>
                <w:color w:val="000000" w:themeColor="text1"/>
                <w:sz w:val="22"/>
                <w:szCs w:val="22"/>
                <w:lang w:eastAsia="it-IT"/>
                <w14:textFill>
                  <w14:solidFill>
                    <w14:schemeClr w14:val="tx1"/>
                  </w14:solidFill>
                </w14:textFill>
              </w:rPr>
              <m:t>∧</m:t>
            </m:r>
            <m:r>
              <m:rPr/>
              <w:rPr>
                <w:rFonts w:ascii="Cambria Math" w:hAnsi="Cambria Math" w:eastAsia="Times New Roman" w:cs="Verdana"/>
                <w:color w:val="000000" w:themeColor="text1"/>
                <w:sz w:val="22"/>
                <w:szCs w:val="22"/>
                <w:lang w:eastAsia="it-IT"/>
                <w14:textFill>
                  <w14:solidFill>
                    <w14:schemeClr w14:val="tx1"/>
                  </w14:solidFill>
                </w14:textFill>
              </w:rPr>
              <m:t xml:space="preserve"> </m:t>
            </m:r>
            <m:nary>
              <m:naryPr>
                <m:chr m:val="∑"/>
                <m:limLoc m:val="undOvr"/>
                <m:ctrlPr>
                  <w:rPr>
                    <w:rFonts w:ascii="Cambria Math" w:hAnsi="Cambria Math" w:eastAsia="Times New Roman" w:cs="Verdana"/>
                    <w:i/>
                    <w:color w:val="000000" w:themeColor="text1"/>
                    <w:sz w:val="22"/>
                    <w:szCs w:val="22"/>
                    <w:lang w:eastAsia="it-IT"/>
                    <w14:textFill>
                      <w14:solidFill>
                        <w14:schemeClr w14:val="tx1"/>
                      </w14:solidFill>
                    </w14:textFill>
                  </w:rPr>
                </m:ctrlPr>
              </m:naryPr>
              <m:sub>
                <m:r>
                  <m:rPr/>
                  <w:rPr>
                    <w:rFonts w:ascii="Cambria Math" w:hAnsi="Cambria Math" w:eastAsia="Times New Roman" w:cs="Verdana"/>
                    <w:color w:val="000000" w:themeColor="text1"/>
                    <w:sz w:val="22"/>
                    <w:szCs w:val="22"/>
                    <w:lang w:eastAsia="it-IT"/>
                    <w14:textFill>
                      <w14:solidFill>
                        <w14:schemeClr w14:val="tx1"/>
                      </w14:solidFill>
                    </w14:textFill>
                  </w:rPr>
                  <m:t>n=0</m:t>
                </m:r>
                <m:ctrlPr>
                  <w:rPr>
                    <w:rFonts w:ascii="Cambria Math" w:hAnsi="Cambria Math" w:eastAsia="Times New Roman" w:cs="Verdana"/>
                    <w:i/>
                    <w:color w:val="000000" w:themeColor="text1"/>
                    <w:sz w:val="22"/>
                    <w:szCs w:val="22"/>
                    <w:lang w:eastAsia="it-IT"/>
                    <w14:textFill>
                      <w14:solidFill>
                        <w14:schemeClr w14:val="tx1"/>
                      </w14:solidFill>
                    </w14:textFill>
                  </w:rPr>
                </m:ctrlPr>
              </m:sub>
              <m:sup>
                <m:r>
                  <m:rPr/>
                  <w:rPr>
                    <w:rFonts w:ascii="Cambria Math" w:hAnsi="Cambria Math" w:eastAsia="Times New Roman" w:cs="Verdana"/>
                    <w:color w:val="000000" w:themeColor="text1"/>
                    <w:sz w:val="22"/>
                    <w:szCs w:val="22"/>
                    <w:lang w:eastAsia="it-IT"/>
                    <w14:textFill>
                      <w14:solidFill>
                        <w14:schemeClr w14:val="tx1"/>
                      </w14:solidFill>
                    </w14:textFill>
                  </w:rPr>
                  <m:t>∞</m:t>
                </m:r>
                <m:ctrlPr>
                  <w:rPr>
                    <w:rFonts w:ascii="Cambria Math" w:hAnsi="Cambria Math" w:eastAsia="Times New Roman" w:cs="Verdana"/>
                    <w:i/>
                    <w:color w:val="000000" w:themeColor="text1"/>
                    <w:sz w:val="22"/>
                    <w:szCs w:val="22"/>
                    <w:lang w:eastAsia="it-IT"/>
                    <w14:textFill>
                      <w14:solidFill>
                        <w14:schemeClr w14:val="tx1"/>
                      </w14:solidFill>
                    </w14:textFill>
                  </w:rPr>
                </m:ctrlPr>
              </m:sup>
              <m:e>
                <m:d>
                  <m:dPr>
                    <m:ctrlPr>
                      <w:rPr>
                        <w:rFonts w:ascii="Cambria Math" w:hAnsi="Cambria Math" w:eastAsia="Times New Roman" w:cs="Verdana"/>
                        <w:i/>
                        <w:color w:val="000000" w:themeColor="text1"/>
                        <w:sz w:val="22"/>
                        <w:szCs w:val="22"/>
                        <w:lang w:eastAsia="it-IT"/>
                        <w14:textFill>
                          <w14:solidFill>
                            <w14:schemeClr w14:val="tx1"/>
                          </w14:solidFill>
                        </w14:textFill>
                      </w:rPr>
                    </m:ctrlPr>
                  </m:dPr>
                  <m:e>
                    <m:r>
                      <m:rPr/>
                      <w:rPr>
                        <w:rFonts w:ascii="Cambria Math" w:hAnsi="Cambria Math" w:eastAsia="Times New Roman" w:cs="Verdana"/>
                        <w:color w:val="000000" w:themeColor="text1"/>
                        <w:sz w:val="22"/>
                        <w:szCs w:val="22"/>
                        <w:lang w:eastAsia="it-IT"/>
                        <w14:textFill>
                          <w14:solidFill>
                            <w14:schemeClr w14:val="tx1"/>
                          </w14:solidFill>
                        </w14:textFill>
                      </w:rPr>
                      <m:t>n</m:t>
                    </m:r>
                    <m:ctrlPr>
                      <w:rPr>
                        <w:rFonts w:ascii="Cambria Math" w:hAnsi="Cambria Math" w:eastAsia="Times New Roman" w:cs="Verdana"/>
                        <w:i/>
                        <w:color w:val="000000" w:themeColor="text1"/>
                        <w:sz w:val="22"/>
                        <w:szCs w:val="22"/>
                        <w:lang w:eastAsia="it-IT"/>
                        <w14:textFill>
                          <w14:solidFill>
                            <w14:schemeClr w14:val="tx1"/>
                          </w14:solidFill>
                        </w14:textFill>
                      </w:rPr>
                    </m:ctrlPr>
                  </m:e>
                </m:d>
                <m:r>
                  <m:rPr/>
                  <w:rPr>
                    <w:rFonts w:ascii="Cambria Math" w:hAnsi="Cambria Math" w:eastAsia="Times New Roman" w:cs="Verdana"/>
                    <w:color w:val="000000" w:themeColor="text1"/>
                    <w:sz w:val="22"/>
                    <w:szCs w:val="22"/>
                    <w:lang w:eastAsia="it-IT"/>
                    <w14:textFill>
                      <w14:solidFill>
                        <w14:schemeClr w14:val="tx1"/>
                      </w14:solidFill>
                    </w14:textFill>
                  </w:rPr>
                  <m:t xml:space="preserve"> IR </m:t>
                </m:r>
                <m:ctrlPr>
                  <w:rPr>
                    <w:rFonts w:ascii="Cambria Math" w:hAnsi="Cambria Math" w:eastAsia="Times New Roman" w:cs="Verdana"/>
                    <w:i/>
                    <w:color w:val="000000" w:themeColor="text1"/>
                    <w:sz w:val="22"/>
                    <w:szCs w:val="22"/>
                    <w:lang w:eastAsia="it-IT"/>
                    <w14:textFill>
                      <w14:solidFill>
                        <w14:schemeClr w14:val="tx1"/>
                      </w14:solidFill>
                    </w14:textFill>
                  </w:rPr>
                </m:ctrlPr>
              </m:e>
            </m:nary>
            <m:ctrlPr>
              <w:rPr>
                <w:rFonts w:ascii="Cambria Math" w:hAnsi="Cambria Math" w:eastAsia="Times New Roman" w:cs="Verdana"/>
                <w:color w:val="000000" w:themeColor="text1"/>
                <w:sz w:val="22"/>
                <w:szCs w:val="22"/>
                <w:lang w:eastAsia="it-IT"/>
                <w14:textFill>
                  <w14:solidFill>
                    <w14:schemeClr w14:val="tx1"/>
                  </w14:solidFill>
                </w14:textFill>
              </w:rPr>
            </m:ctrlPr>
          </m:e>
        </m:d>
        <m:r>
          <m:rPr>
            <m:sty m:val="p"/>
          </m:rPr>
          <w:rPr>
            <w:rFonts w:ascii="Cambria Math" w:hAnsi="Cambria Math" w:eastAsia="Times New Roman" w:cs="Verdana"/>
            <w:color w:val="000000" w:themeColor="text1"/>
            <w:sz w:val="22"/>
            <w:szCs w:val="22"/>
            <w:lang w:eastAsia="it-IT"/>
            <w14:textFill>
              <w14:solidFill>
                <w14:schemeClr w14:val="tx1"/>
              </w14:solidFill>
            </w14:textFill>
          </w:rPr>
          <m:t>∘</m:t>
        </m:r>
        <m:d>
          <m:dPr>
            <m:begChr m:val="["/>
            <m:endChr m:val="]"/>
            <m:ctrlPr>
              <w:rPr>
                <w:rFonts w:ascii="Cambria Math" w:hAnsi="Cambria Math" w:eastAsia="Times New Roman" w:cs="Verdana"/>
                <w:i/>
                <w:color w:val="000000" w:themeColor="text1"/>
                <w:sz w:val="22"/>
                <w:szCs w:val="22"/>
                <w:lang w:eastAsia="it-IT"/>
                <w14:textFill>
                  <w14:solidFill>
                    <w14:schemeClr w14:val="tx1"/>
                  </w14:solidFill>
                </w14:textFill>
              </w:rPr>
            </m:ctrlPr>
          </m:dPr>
          <m:e>
            <m:r>
              <m:rPr/>
              <w:rPr>
                <w:rFonts w:ascii="Cambria Math" w:hAnsi="Cambria Math" w:eastAsia="Times New Roman" w:cs="Verdana"/>
                <w:color w:val="000000" w:themeColor="text1"/>
                <w:sz w:val="22"/>
                <w:szCs w:val="22"/>
                <w:lang w:eastAsia="it-IT"/>
                <w14:textFill>
                  <w14:solidFill>
                    <w14:schemeClr w14:val="tx1"/>
                  </w14:solidFill>
                </w14:textFill>
              </w:rPr>
              <m:t>IL=0=&gt;</m:t>
            </m:r>
            <m:nary>
              <m:naryPr>
                <m:chr m:val="∑"/>
                <m:limLoc m:val="undOvr"/>
                <m:ctrlPr>
                  <w:rPr>
                    <w:rFonts w:ascii="Cambria Math" w:hAnsi="Cambria Math" w:eastAsia="Times New Roman" w:cs="Verdana"/>
                    <w:i/>
                    <w:color w:val="000000" w:themeColor="text1"/>
                    <w:sz w:val="22"/>
                    <w:szCs w:val="22"/>
                    <w:lang w:eastAsia="it-IT"/>
                    <w14:textFill>
                      <w14:solidFill>
                        <w14:schemeClr w14:val="tx1"/>
                      </w14:solidFill>
                    </w14:textFill>
                  </w:rPr>
                </m:ctrlPr>
              </m:naryPr>
              <m:sub>
                <m:r>
                  <m:rPr/>
                  <w:rPr>
                    <w:rFonts w:ascii="Cambria Math" w:hAnsi="Cambria Math" w:eastAsia="Times New Roman" w:cs="Verdana"/>
                    <w:color w:val="000000" w:themeColor="text1"/>
                    <w:sz w:val="22"/>
                    <w:szCs w:val="22"/>
                    <w:lang w:eastAsia="it-IT"/>
                    <w14:textFill>
                      <w14:solidFill>
                        <w14:schemeClr w14:val="tx1"/>
                      </w14:solidFill>
                    </w14:textFill>
                  </w:rPr>
                  <m:t>n=0</m:t>
                </m:r>
                <m:ctrlPr>
                  <w:rPr>
                    <w:rFonts w:ascii="Cambria Math" w:hAnsi="Cambria Math" w:eastAsia="Times New Roman" w:cs="Verdana"/>
                    <w:i/>
                    <w:color w:val="000000" w:themeColor="text1"/>
                    <w:sz w:val="22"/>
                    <w:szCs w:val="22"/>
                    <w:lang w:eastAsia="it-IT"/>
                    <w14:textFill>
                      <w14:solidFill>
                        <w14:schemeClr w14:val="tx1"/>
                      </w14:solidFill>
                    </w14:textFill>
                  </w:rPr>
                </m:ctrlPr>
              </m:sub>
              <m:sup>
                <m:r>
                  <m:rPr/>
                  <w:rPr>
                    <w:rFonts w:ascii="Cambria Math" w:hAnsi="Cambria Math" w:eastAsia="Times New Roman" w:cs="Verdana"/>
                    <w:color w:val="000000" w:themeColor="text1"/>
                    <w:sz w:val="22"/>
                    <w:szCs w:val="22"/>
                    <w:lang w:eastAsia="it-IT"/>
                    <w14:textFill>
                      <w14:solidFill>
                        <w14:schemeClr w14:val="tx1"/>
                      </w14:solidFill>
                    </w14:textFill>
                  </w:rPr>
                  <m:t>∞</m:t>
                </m:r>
                <m:ctrlPr>
                  <w:rPr>
                    <w:rFonts w:ascii="Cambria Math" w:hAnsi="Cambria Math" w:eastAsia="Times New Roman" w:cs="Verdana"/>
                    <w:i/>
                    <w:color w:val="000000" w:themeColor="text1"/>
                    <w:sz w:val="22"/>
                    <w:szCs w:val="22"/>
                    <w:lang w:eastAsia="it-IT"/>
                    <w14:textFill>
                      <w14:solidFill>
                        <w14:schemeClr w14:val="tx1"/>
                      </w14:solidFill>
                    </w14:textFill>
                  </w:rPr>
                </m:ctrlPr>
              </m:sup>
              <m:e>
                <m:r>
                  <m:rPr/>
                  <w:rPr>
                    <w:rFonts w:ascii="Cambria Math" w:hAnsi="Cambria Math" w:eastAsia="Times New Roman" w:cs="Verdana"/>
                    <w:color w:val="000000" w:themeColor="text1"/>
                    <w:sz w:val="22"/>
                    <w:szCs w:val="22"/>
                    <w:lang w:eastAsia="it-IT"/>
                    <w14:textFill>
                      <w14:solidFill>
                        <w14:schemeClr w14:val="tx1"/>
                      </w14:solidFill>
                    </w14:textFill>
                  </w:rPr>
                  <m:t xml:space="preserve">AL </m:t>
                </m:r>
                <m:d>
                  <m:dPr>
                    <m:ctrlPr>
                      <w:rPr>
                        <w:rFonts w:ascii="Cambria Math" w:hAnsi="Cambria Math" w:eastAsia="Times New Roman" w:cs="Verdana"/>
                        <w:i/>
                        <w:color w:val="000000" w:themeColor="text1"/>
                        <w:sz w:val="22"/>
                        <w:szCs w:val="22"/>
                        <w:lang w:eastAsia="it-IT"/>
                        <w14:textFill>
                          <w14:solidFill>
                            <w14:schemeClr w14:val="tx1"/>
                          </w14:solidFill>
                        </w14:textFill>
                      </w:rPr>
                    </m:ctrlPr>
                  </m:dPr>
                  <m:e>
                    <m:r>
                      <m:rPr/>
                      <w:rPr>
                        <w:rFonts w:ascii="Cambria Math" w:hAnsi="Cambria Math" w:eastAsia="Times New Roman" w:cs="Verdana"/>
                        <w:color w:val="000000" w:themeColor="text1"/>
                        <w:sz w:val="22"/>
                        <w:szCs w:val="22"/>
                        <w:lang w:eastAsia="it-IT"/>
                        <w14:textFill>
                          <w14:solidFill>
                            <w14:schemeClr w14:val="tx1"/>
                          </w14:solidFill>
                        </w14:textFill>
                      </w:rPr>
                      <m:t>n</m:t>
                    </m:r>
                    <m:ctrlPr>
                      <w:rPr>
                        <w:rFonts w:ascii="Cambria Math" w:hAnsi="Cambria Math" w:eastAsia="Times New Roman" w:cs="Verdana"/>
                        <w:i/>
                        <w:color w:val="000000" w:themeColor="text1"/>
                        <w:sz w:val="22"/>
                        <w:szCs w:val="22"/>
                        <w:lang w:eastAsia="it-IT"/>
                        <w14:textFill>
                          <w14:solidFill>
                            <w14:schemeClr w14:val="tx1"/>
                          </w14:solidFill>
                        </w14:textFill>
                      </w:rPr>
                    </m:ctrlPr>
                  </m:e>
                </m:d>
                <m:ctrlPr>
                  <w:rPr>
                    <w:rFonts w:ascii="Cambria Math" w:hAnsi="Cambria Math" w:eastAsia="Times New Roman" w:cs="Verdana"/>
                    <w:i/>
                    <w:color w:val="000000" w:themeColor="text1"/>
                    <w:sz w:val="22"/>
                    <w:szCs w:val="22"/>
                    <w:lang w:eastAsia="it-IT"/>
                    <w14:textFill>
                      <w14:solidFill>
                        <w14:schemeClr w14:val="tx1"/>
                      </w14:solidFill>
                    </w14:textFill>
                  </w:rPr>
                </m:ctrlPr>
              </m:e>
            </m:nary>
            <m:ctrlPr>
              <w:rPr>
                <w:rFonts w:ascii="Cambria Math" w:hAnsi="Cambria Math" w:eastAsia="Times New Roman" w:cs="Verdana"/>
                <w:i/>
                <w:color w:val="000000" w:themeColor="text1"/>
                <w:sz w:val="22"/>
                <w:szCs w:val="22"/>
                <w:lang w:eastAsia="it-IT"/>
                <w14:textFill>
                  <w14:solidFill>
                    <w14:schemeClr w14:val="tx1"/>
                  </w14:solidFill>
                </w14:textFill>
              </w:rPr>
            </m:ctrlPr>
          </m:e>
        </m:d>
        <m:r>
          <m:rPr/>
          <w:rPr>
            <w:rFonts w:ascii="Cambria Math" w:hAnsi="Cambria Math" w:eastAsia="Times New Roman" w:cs="Verdana"/>
            <w:color w:val="000000" w:themeColor="text1"/>
            <w:sz w:val="22"/>
            <w:szCs w:val="22"/>
            <w:lang w:eastAsia="it-IT"/>
            <w14:textFill>
              <w14:solidFill>
                <w14:schemeClr w14:val="tx1"/>
              </w14:solidFill>
            </w14:textFill>
          </w:rPr>
          <m:t xml:space="preserve"> </m:t>
        </m:r>
        <m:r>
          <m:rPr>
            <m:sty m:val="p"/>
          </m:rPr>
          <w:rPr>
            <w:rFonts w:ascii="Cambria Math" w:hAnsi="Cambria Math" w:eastAsia="Times New Roman" w:cs="Verdana"/>
            <w:color w:val="000000" w:themeColor="text1"/>
            <w:sz w:val="22"/>
            <w:szCs w:val="22"/>
            <w:lang w:eastAsia="it-IT"/>
            <w14:textFill>
              <w14:solidFill>
                <w14:schemeClr w14:val="tx1"/>
              </w14:solidFill>
            </w14:textFill>
          </w:rPr>
          <m:t>∘</m:t>
        </m:r>
        <m:d>
          <m:dPr>
            <m:begChr m:val="{"/>
            <m:endChr m:val=""/>
            <m:ctrlPr>
              <w:rPr>
                <w:rFonts w:ascii="Cambria Math" w:hAnsi="Cambria Math" w:eastAsia="Times New Roman" w:cs="Verdana"/>
                <w:i/>
                <w:color w:val="000000" w:themeColor="text1"/>
                <w:sz w:val="22"/>
                <w:szCs w:val="22"/>
                <w:lang w:eastAsia="it-IT"/>
                <w14:textFill>
                  <w14:solidFill>
                    <w14:schemeClr w14:val="tx1"/>
                  </w14:solidFill>
                </w14:textFill>
              </w:rPr>
            </m:ctrlPr>
          </m:dPr>
          <m:e>
            <m:r>
              <m:rPr/>
              <w:rPr>
                <w:rFonts w:ascii="Cambria Math" w:hAnsi="Cambria Math" w:eastAsia="Times New Roman" w:cs="Verdana"/>
                <w:color w:val="000000" w:themeColor="text1"/>
                <w:sz w:val="22"/>
                <w:szCs w:val="22"/>
                <w:lang w:eastAsia="it-IT"/>
                <w14:textFill>
                  <w14:solidFill>
                    <w14:schemeClr w14:val="tx1"/>
                  </w14:solidFill>
                </w14:textFill>
              </w:rPr>
              <m:t>AL≈0=&gt;</m:t>
            </m:r>
            <m:nary>
              <m:naryPr>
                <m:chr m:val="∑"/>
                <m:limLoc m:val="undOvr"/>
                <m:ctrlPr>
                  <w:rPr>
                    <w:rFonts w:ascii="Cambria Math" w:hAnsi="Cambria Math" w:eastAsia="Times New Roman" w:cs="Verdana"/>
                    <w:i/>
                    <w:color w:val="000000" w:themeColor="text1"/>
                    <w:sz w:val="22"/>
                    <w:szCs w:val="22"/>
                    <w:lang w:eastAsia="it-IT"/>
                    <w14:textFill>
                      <w14:solidFill>
                        <w14:schemeClr w14:val="tx1"/>
                      </w14:solidFill>
                    </w14:textFill>
                  </w:rPr>
                </m:ctrlPr>
              </m:naryPr>
              <m:sub>
                <m:r>
                  <m:rPr/>
                  <w:rPr>
                    <w:rFonts w:ascii="Cambria Math" w:hAnsi="Cambria Math" w:eastAsia="Times New Roman" w:cs="Verdana"/>
                    <w:color w:val="000000" w:themeColor="text1"/>
                    <w:sz w:val="22"/>
                    <w:szCs w:val="22"/>
                    <w:lang w:eastAsia="it-IT"/>
                    <w14:textFill>
                      <w14:solidFill>
                        <w14:schemeClr w14:val="tx1"/>
                      </w14:solidFill>
                    </w14:textFill>
                  </w:rPr>
                  <m:t>n=0</m:t>
                </m:r>
                <m:ctrlPr>
                  <w:rPr>
                    <w:rFonts w:ascii="Cambria Math" w:hAnsi="Cambria Math" w:eastAsia="Times New Roman" w:cs="Verdana"/>
                    <w:i/>
                    <w:color w:val="000000" w:themeColor="text1"/>
                    <w:sz w:val="22"/>
                    <w:szCs w:val="22"/>
                    <w:lang w:eastAsia="it-IT"/>
                    <w14:textFill>
                      <w14:solidFill>
                        <w14:schemeClr w14:val="tx1"/>
                      </w14:solidFill>
                    </w14:textFill>
                  </w:rPr>
                </m:ctrlPr>
              </m:sub>
              <m:sup>
                <m:r>
                  <m:rPr/>
                  <w:rPr>
                    <w:rFonts w:ascii="Cambria Math" w:hAnsi="Cambria Math" w:eastAsia="Times New Roman" w:cs="Verdana"/>
                    <w:color w:val="000000" w:themeColor="text1"/>
                    <w:sz w:val="22"/>
                    <w:szCs w:val="22"/>
                    <w:lang w:eastAsia="it-IT"/>
                    <w14:textFill>
                      <w14:solidFill>
                        <w14:schemeClr w14:val="tx1"/>
                      </w14:solidFill>
                    </w14:textFill>
                  </w:rPr>
                  <m:t>∞</m:t>
                </m:r>
                <m:ctrlPr>
                  <w:rPr>
                    <w:rFonts w:ascii="Cambria Math" w:hAnsi="Cambria Math" w:eastAsia="Times New Roman" w:cs="Verdana"/>
                    <w:i/>
                    <w:color w:val="000000" w:themeColor="text1"/>
                    <w:sz w:val="22"/>
                    <w:szCs w:val="22"/>
                    <w:lang w:eastAsia="it-IT"/>
                    <w14:textFill>
                      <w14:solidFill>
                        <w14:schemeClr w14:val="tx1"/>
                      </w14:solidFill>
                    </w14:textFill>
                  </w:rPr>
                </m:ctrlPr>
              </m:sup>
              <m:e>
                <m:r>
                  <m:rPr/>
                  <w:rPr>
                    <w:rFonts w:ascii="Cambria Math" w:hAnsi="Cambria Math" w:eastAsia="Times New Roman" w:cs="Verdana"/>
                    <w:color w:val="000000" w:themeColor="text1"/>
                    <w:sz w:val="22"/>
                    <w:szCs w:val="22"/>
                    <w:lang w:eastAsia="it-IT"/>
                    <w14:textFill>
                      <w14:solidFill>
                        <w14:schemeClr w14:val="tx1"/>
                      </w14:solidFill>
                    </w14:textFill>
                  </w:rPr>
                  <m:t xml:space="preserve">AI </m:t>
                </m:r>
                <m:d>
                  <m:dPr>
                    <m:ctrlPr>
                      <w:rPr>
                        <w:rFonts w:ascii="Cambria Math" w:hAnsi="Cambria Math" w:eastAsia="Times New Roman" w:cs="Verdana"/>
                        <w:i/>
                        <w:color w:val="000000" w:themeColor="text1"/>
                        <w:sz w:val="22"/>
                        <w:szCs w:val="22"/>
                        <w:lang w:eastAsia="it-IT"/>
                        <w14:textFill>
                          <w14:solidFill>
                            <w14:schemeClr w14:val="tx1"/>
                          </w14:solidFill>
                        </w14:textFill>
                      </w:rPr>
                    </m:ctrlPr>
                  </m:dPr>
                  <m:e>
                    <m:r>
                      <m:rPr/>
                      <w:rPr>
                        <w:rFonts w:ascii="Cambria Math" w:hAnsi="Cambria Math" w:eastAsia="Times New Roman" w:cs="Verdana"/>
                        <w:color w:val="000000" w:themeColor="text1"/>
                        <w:sz w:val="22"/>
                        <w:szCs w:val="22"/>
                        <w:lang w:eastAsia="it-IT"/>
                        <w14:textFill>
                          <w14:solidFill>
                            <w14:schemeClr w14:val="tx1"/>
                          </w14:solidFill>
                        </w14:textFill>
                      </w:rPr>
                      <m:t>n</m:t>
                    </m:r>
                    <m:ctrlPr>
                      <w:rPr>
                        <w:rFonts w:ascii="Cambria Math" w:hAnsi="Cambria Math" w:eastAsia="Times New Roman" w:cs="Verdana"/>
                        <w:i/>
                        <w:color w:val="000000" w:themeColor="text1"/>
                        <w:sz w:val="22"/>
                        <w:szCs w:val="22"/>
                        <w:lang w:eastAsia="it-IT"/>
                        <w14:textFill>
                          <w14:solidFill>
                            <w14:schemeClr w14:val="tx1"/>
                          </w14:solidFill>
                        </w14:textFill>
                      </w:rPr>
                    </m:ctrlPr>
                  </m:e>
                </m:d>
                <m:ctrlPr>
                  <w:rPr>
                    <w:rFonts w:ascii="Cambria Math" w:hAnsi="Cambria Math" w:eastAsia="Times New Roman" w:cs="Verdana"/>
                    <w:i/>
                    <w:color w:val="000000" w:themeColor="text1"/>
                    <w:sz w:val="22"/>
                    <w:szCs w:val="22"/>
                    <w:lang w:eastAsia="it-IT"/>
                    <w14:textFill>
                      <w14:solidFill>
                        <w14:schemeClr w14:val="tx1"/>
                      </w14:solidFill>
                    </w14:textFill>
                  </w:rPr>
                </m:ctrlPr>
              </m:e>
            </m:nary>
            <m:ctrlPr>
              <w:rPr>
                <w:rFonts w:ascii="Cambria Math" w:hAnsi="Cambria Math" w:eastAsia="Times New Roman" w:cs="Verdana"/>
                <w:i/>
                <w:color w:val="000000" w:themeColor="text1"/>
                <w:sz w:val="22"/>
                <w:szCs w:val="22"/>
                <w:lang w:eastAsia="it-IT"/>
                <w14:textFill>
                  <w14:solidFill>
                    <w14:schemeClr w14:val="tx1"/>
                  </w14:solidFill>
                </w14:textFill>
              </w:rPr>
            </m:ctrlPr>
          </m:e>
        </m:d>
      </m:oMath>
      <w:r>
        <w:rPr>
          <w:rFonts w:ascii="Verdana" w:hAnsi="Verdana" w:eastAsia="Times New Roman" w:cs="Verdana"/>
          <w:color w:val="000000" w:themeColor="text1"/>
          <w:sz w:val="22"/>
          <w:szCs w:val="22"/>
          <w:lang w:eastAsia="it-IT"/>
          <w14:textFill>
            <w14:solidFill>
              <w14:schemeClr w14:val="tx1"/>
            </w14:solidFill>
          </w14:textFill>
        </w:rPr>
        <w:t>}</w:t>
      </w:r>
    </w:p>
    <w:p>
      <w:p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 xml:space="preserve">allora ne segue la seguente formula </w:t>
      </w:r>
    </w:p>
    <w:p>
      <w:p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 xml:space="preserve">PG : </w:t>
      </w:r>
    </w:p>
    <w:p>
      <w:pPr>
        <w:jc w:val="both"/>
        <w:rPr>
          <w:rFonts w:ascii="Verdana" w:hAnsi="Verdana" w:eastAsia="Times New Roman" w:cs="Verdana"/>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 xml:space="preserve">[FP  ≡ 1 &lt;=&gt; (VPAfc) (∑pfc) &gt; (VPAfnc) (∑pfnc) ] ---&gt; </w:t>
      </w:r>
      <m:oMath>
        <m:d>
          <m:dPr>
            <m:ctrlPr>
              <w:rPr>
                <w:rFonts w:ascii="Cambria Math" w:hAnsi="Cambria Math" w:eastAsia="Times New Roman" w:cs="Verdana"/>
                <w:i/>
                <w:color w:val="000000" w:themeColor="text1"/>
                <w:sz w:val="22"/>
                <w:szCs w:val="22"/>
                <w:lang w:eastAsia="it-IT"/>
                <w14:textFill>
                  <w14:solidFill>
                    <w14:schemeClr w14:val="tx1"/>
                  </w14:solidFill>
                </w14:textFill>
              </w:rPr>
            </m:ctrlPr>
          </m:dPr>
          <m:e>
            <m:nary>
              <m:naryPr>
                <m:chr m:val="∑"/>
                <m:limLoc m:val="undOvr"/>
                <m:ctrlPr>
                  <w:rPr>
                    <w:rFonts w:ascii="Cambria Math" w:hAnsi="Cambria Math" w:eastAsia="Times New Roman" w:cs="Verdana"/>
                    <w:i/>
                    <w:color w:val="000000" w:themeColor="text1"/>
                    <w:sz w:val="22"/>
                    <w:szCs w:val="22"/>
                    <w:lang w:eastAsia="it-IT"/>
                    <w14:textFill>
                      <w14:solidFill>
                        <w14:schemeClr w14:val="tx1"/>
                      </w14:solidFill>
                    </w14:textFill>
                  </w:rPr>
                </m:ctrlPr>
              </m:naryPr>
              <m:sub>
                <m:r>
                  <m:rPr/>
                  <w:rPr>
                    <w:rFonts w:ascii="Cambria Math" w:hAnsi="Cambria Math" w:eastAsia="Times New Roman" w:cs="Verdana"/>
                    <w:color w:val="000000" w:themeColor="text1"/>
                    <w:sz w:val="22"/>
                    <w:szCs w:val="22"/>
                    <w:lang w:eastAsia="it-IT"/>
                    <w14:textFill>
                      <w14:solidFill>
                        <w14:schemeClr w14:val="tx1"/>
                      </w14:solidFill>
                    </w14:textFill>
                  </w:rPr>
                  <m:t>n=0</m:t>
                </m:r>
                <m:ctrlPr>
                  <w:rPr>
                    <w:rFonts w:ascii="Cambria Math" w:hAnsi="Cambria Math" w:eastAsia="Times New Roman" w:cs="Verdana"/>
                    <w:i/>
                    <w:color w:val="000000" w:themeColor="text1"/>
                    <w:sz w:val="22"/>
                    <w:szCs w:val="22"/>
                    <w:lang w:eastAsia="it-IT"/>
                    <w14:textFill>
                      <w14:solidFill>
                        <w14:schemeClr w14:val="tx1"/>
                      </w14:solidFill>
                    </w14:textFill>
                  </w:rPr>
                </m:ctrlPr>
              </m:sub>
              <m:sup>
                <m:r>
                  <m:rPr/>
                  <w:rPr>
                    <w:rFonts w:ascii="Cambria Math" w:hAnsi="Cambria Math" w:eastAsia="Times New Roman" w:cs="Verdana"/>
                    <w:color w:val="000000" w:themeColor="text1"/>
                    <w:sz w:val="22"/>
                    <w:szCs w:val="22"/>
                    <w:lang w:eastAsia="it-IT"/>
                    <w14:textFill>
                      <w14:solidFill>
                        <w14:schemeClr w14:val="tx1"/>
                      </w14:solidFill>
                    </w14:textFill>
                  </w:rPr>
                  <m:t>∞</m:t>
                </m:r>
                <m:ctrlPr>
                  <w:rPr>
                    <w:rFonts w:ascii="Cambria Math" w:hAnsi="Cambria Math" w:eastAsia="Times New Roman" w:cs="Verdana"/>
                    <w:i/>
                    <w:color w:val="000000" w:themeColor="text1"/>
                    <w:sz w:val="22"/>
                    <w:szCs w:val="22"/>
                    <w:lang w:eastAsia="it-IT"/>
                    <w14:textFill>
                      <w14:solidFill>
                        <w14:schemeClr w14:val="tx1"/>
                      </w14:solidFill>
                    </w14:textFill>
                  </w:rPr>
                </m:ctrlPr>
              </m:sup>
              <m:e>
                <m:r>
                  <m:rPr/>
                  <w:rPr>
                    <w:rFonts w:ascii="Cambria Math" w:hAnsi="Cambria Math" w:eastAsia="Times New Roman" w:cs="Verdana"/>
                    <w:color w:val="000000" w:themeColor="text1"/>
                    <w:sz w:val="22"/>
                    <w:szCs w:val="22"/>
                    <w:lang w:eastAsia="it-IT"/>
                    <w14:textFill>
                      <w14:solidFill>
                        <w14:schemeClr w14:val="tx1"/>
                      </w14:solidFill>
                    </w14:textFill>
                  </w:rPr>
                  <m:t>IL</m:t>
                </m:r>
                <m:ctrlPr>
                  <w:rPr>
                    <w:rFonts w:ascii="Cambria Math" w:hAnsi="Cambria Math" w:eastAsia="Times New Roman" w:cs="Verdana"/>
                    <w:i/>
                    <w:color w:val="000000" w:themeColor="text1"/>
                    <w:sz w:val="22"/>
                    <w:szCs w:val="22"/>
                    <w:lang w:eastAsia="it-IT"/>
                    <w14:textFill>
                      <w14:solidFill>
                        <w14:schemeClr w14:val="tx1"/>
                      </w14:solidFill>
                    </w14:textFill>
                  </w:rPr>
                </m:ctrlPr>
              </m:e>
            </m:nary>
            <m:d>
              <m:dPr>
                <m:ctrlPr>
                  <w:rPr>
                    <w:rFonts w:ascii="Cambria Math" w:hAnsi="Cambria Math" w:eastAsia="Times New Roman" w:cs="Verdana"/>
                    <w:i/>
                    <w:color w:val="000000" w:themeColor="text1"/>
                    <w:sz w:val="22"/>
                    <w:szCs w:val="22"/>
                    <w:lang w:eastAsia="it-IT"/>
                    <w14:textFill>
                      <w14:solidFill>
                        <w14:schemeClr w14:val="tx1"/>
                      </w14:solidFill>
                    </w14:textFill>
                  </w:rPr>
                </m:ctrlPr>
              </m:dPr>
              <m:e>
                <m:r>
                  <m:rPr/>
                  <w:rPr>
                    <w:rFonts w:ascii="Cambria Math" w:hAnsi="Cambria Math" w:eastAsia="Times New Roman" w:cs="Verdana"/>
                    <w:color w:val="000000" w:themeColor="text1"/>
                    <w:sz w:val="22"/>
                    <w:szCs w:val="22"/>
                    <w:lang w:eastAsia="it-IT"/>
                    <w14:textFill>
                      <w14:solidFill>
                        <w14:schemeClr w14:val="tx1"/>
                      </w14:solidFill>
                    </w14:textFill>
                  </w:rPr>
                  <m:t>n</m:t>
                </m:r>
                <m:ctrlPr>
                  <w:rPr>
                    <w:rFonts w:ascii="Cambria Math" w:hAnsi="Cambria Math" w:eastAsia="Times New Roman" w:cs="Verdana"/>
                    <w:i/>
                    <w:color w:val="000000" w:themeColor="text1"/>
                    <w:sz w:val="22"/>
                    <w:szCs w:val="22"/>
                    <w:lang w:eastAsia="it-IT"/>
                    <w14:textFill>
                      <w14:solidFill>
                        <w14:schemeClr w14:val="tx1"/>
                      </w14:solidFill>
                    </w14:textFill>
                  </w:rPr>
                </m:ctrlPr>
              </m:e>
            </m:d>
            <m:r>
              <m:rPr/>
              <w:rPr>
                <w:rFonts w:ascii="Cambria Math" w:hAnsi="Cambria Math" w:eastAsia="Times New Roman" w:cs="Verdana"/>
                <w:color w:val="000000" w:themeColor="text1"/>
                <w:sz w:val="22"/>
                <w:szCs w:val="22"/>
                <w:lang w:eastAsia="it-IT"/>
                <w14:textFill>
                  <w14:solidFill>
                    <w14:schemeClr w14:val="tx1"/>
                  </w14:solidFill>
                </w14:textFill>
              </w:rPr>
              <m:t xml:space="preserve"> </m:t>
            </m:r>
            <m:r>
              <m:rPr>
                <m:sty m:val="p"/>
              </m:rPr>
              <w:rPr>
                <w:rFonts w:ascii="Cambria Math" w:hAnsi="Cambria Math" w:eastAsia="Times New Roman" w:cs="Verdana"/>
                <w:color w:val="000000" w:themeColor="text1"/>
                <w:sz w:val="22"/>
                <w:szCs w:val="22"/>
                <w:lang w:eastAsia="it-IT"/>
                <w14:textFill>
                  <w14:solidFill>
                    <w14:schemeClr w14:val="tx1"/>
                  </w14:solidFill>
                </w14:textFill>
              </w:rPr>
              <m:t>∧</m:t>
            </m:r>
            <m:r>
              <m:rPr/>
              <w:rPr>
                <w:rFonts w:ascii="Cambria Math" w:hAnsi="Cambria Math" w:eastAsia="Times New Roman" w:cs="Verdana"/>
                <w:color w:val="000000" w:themeColor="text1"/>
                <w:sz w:val="22"/>
                <w:szCs w:val="22"/>
                <w:lang w:eastAsia="it-IT"/>
                <w14:textFill>
                  <w14:solidFill>
                    <w14:schemeClr w14:val="tx1"/>
                  </w14:solidFill>
                </w14:textFill>
              </w:rPr>
              <m:t xml:space="preserve"> </m:t>
            </m:r>
            <m:nary>
              <m:naryPr>
                <m:chr m:val="∑"/>
                <m:limLoc m:val="undOvr"/>
                <m:ctrlPr>
                  <w:rPr>
                    <w:rFonts w:ascii="Cambria Math" w:hAnsi="Cambria Math" w:eastAsia="Times New Roman" w:cs="Verdana"/>
                    <w:i/>
                    <w:color w:val="000000" w:themeColor="text1"/>
                    <w:sz w:val="22"/>
                    <w:szCs w:val="22"/>
                    <w:lang w:eastAsia="it-IT"/>
                    <w14:textFill>
                      <w14:solidFill>
                        <w14:schemeClr w14:val="tx1"/>
                      </w14:solidFill>
                    </w14:textFill>
                  </w:rPr>
                </m:ctrlPr>
              </m:naryPr>
              <m:sub>
                <m:r>
                  <m:rPr/>
                  <w:rPr>
                    <w:rFonts w:ascii="Cambria Math" w:hAnsi="Cambria Math" w:eastAsia="Times New Roman" w:cs="Verdana"/>
                    <w:color w:val="000000" w:themeColor="text1"/>
                    <w:sz w:val="22"/>
                    <w:szCs w:val="22"/>
                    <w:lang w:eastAsia="it-IT"/>
                    <w14:textFill>
                      <w14:solidFill>
                        <w14:schemeClr w14:val="tx1"/>
                      </w14:solidFill>
                    </w14:textFill>
                  </w:rPr>
                  <m:t>n=0</m:t>
                </m:r>
                <m:ctrlPr>
                  <w:rPr>
                    <w:rFonts w:ascii="Cambria Math" w:hAnsi="Cambria Math" w:eastAsia="Times New Roman" w:cs="Verdana"/>
                    <w:i/>
                    <w:color w:val="000000" w:themeColor="text1"/>
                    <w:sz w:val="22"/>
                    <w:szCs w:val="22"/>
                    <w:lang w:eastAsia="it-IT"/>
                    <w14:textFill>
                      <w14:solidFill>
                        <w14:schemeClr w14:val="tx1"/>
                      </w14:solidFill>
                    </w14:textFill>
                  </w:rPr>
                </m:ctrlPr>
              </m:sub>
              <m:sup>
                <m:r>
                  <m:rPr/>
                  <w:rPr>
                    <w:rFonts w:ascii="Cambria Math" w:hAnsi="Cambria Math" w:eastAsia="Times New Roman" w:cs="Verdana"/>
                    <w:color w:val="000000" w:themeColor="text1"/>
                    <w:sz w:val="22"/>
                    <w:szCs w:val="22"/>
                    <w:lang w:eastAsia="it-IT"/>
                    <w14:textFill>
                      <w14:solidFill>
                        <w14:schemeClr w14:val="tx1"/>
                      </w14:solidFill>
                    </w14:textFill>
                  </w:rPr>
                  <m:t>∞</m:t>
                </m:r>
                <m:ctrlPr>
                  <w:rPr>
                    <w:rFonts w:ascii="Cambria Math" w:hAnsi="Cambria Math" w:eastAsia="Times New Roman" w:cs="Verdana"/>
                    <w:i/>
                    <w:color w:val="000000" w:themeColor="text1"/>
                    <w:sz w:val="22"/>
                    <w:szCs w:val="22"/>
                    <w:lang w:eastAsia="it-IT"/>
                    <w14:textFill>
                      <w14:solidFill>
                        <w14:schemeClr w14:val="tx1"/>
                      </w14:solidFill>
                    </w14:textFill>
                  </w:rPr>
                </m:ctrlPr>
              </m:sup>
              <m:e>
                <m:d>
                  <m:dPr>
                    <m:ctrlPr>
                      <w:rPr>
                        <w:rFonts w:ascii="Cambria Math" w:hAnsi="Cambria Math" w:eastAsia="Times New Roman" w:cs="Verdana"/>
                        <w:i/>
                        <w:color w:val="000000" w:themeColor="text1"/>
                        <w:sz w:val="22"/>
                        <w:szCs w:val="22"/>
                        <w:lang w:eastAsia="it-IT"/>
                        <w14:textFill>
                          <w14:solidFill>
                            <w14:schemeClr w14:val="tx1"/>
                          </w14:solidFill>
                        </w14:textFill>
                      </w:rPr>
                    </m:ctrlPr>
                  </m:dPr>
                  <m:e>
                    <m:r>
                      <m:rPr/>
                      <w:rPr>
                        <w:rFonts w:ascii="Cambria Math" w:hAnsi="Cambria Math" w:eastAsia="Times New Roman" w:cs="Verdana"/>
                        <w:color w:val="000000" w:themeColor="text1"/>
                        <w:sz w:val="22"/>
                        <w:szCs w:val="22"/>
                        <w:lang w:eastAsia="it-IT"/>
                        <w14:textFill>
                          <w14:solidFill>
                            <w14:schemeClr w14:val="tx1"/>
                          </w14:solidFill>
                        </w14:textFill>
                      </w:rPr>
                      <m:t>n</m:t>
                    </m:r>
                    <m:ctrlPr>
                      <w:rPr>
                        <w:rFonts w:ascii="Cambria Math" w:hAnsi="Cambria Math" w:eastAsia="Times New Roman" w:cs="Verdana"/>
                        <w:i/>
                        <w:color w:val="000000" w:themeColor="text1"/>
                        <w:sz w:val="22"/>
                        <w:szCs w:val="22"/>
                        <w:lang w:eastAsia="it-IT"/>
                        <w14:textFill>
                          <w14:solidFill>
                            <w14:schemeClr w14:val="tx1"/>
                          </w14:solidFill>
                        </w14:textFill>
                      </w:rPr>
                    </m:ctrlPr>
                  </m:e>
                </m:d>
                <m:r>
                  <m:rPr/>
                  <w:rPr>
                    <w:rFonts w:ascii="Cambria Math" w:hAnsi="Cambria Math" w:eastAsia="Times New Roman" w:cs="Verdana"/>
                    <w:color w:val="000000" w:themeColor="text1"/>
                    <w:sz w:val="22"/>
                    <w:szCs w:val="22"/>
                    <w:lang w:eastAsia="it-IT"/>
                    <w14:textFill>
                      <w14:solidFill>
                        <w14:schemeClr w14:val="tx1"/>
                      </w14:solidFill>
                    </w14:textFill>
                  </w:rPr>
                  <m:t xml:space="preserve"> IR </m:t>
                </m:r>
                <m:ctrlPr>
                  <w:rPr>
                    <w:rFonts w:ascii="Cambria Math" w:hAnsi="Cambria Math" w:eastAsia="Times New Roman" w:cs="Verdana"/>
                    <w:i/>
                    <w:color w:val="000000" w:themeColor="text1"/>
                    <w:sz w:val="22"/>
                    <w:szCs w:val="22"/>
                    <w:lang w:eastAsia="it-IT"/>
                    <w14:textFill>
                      <w14:solidFill>
                        <w14:schemeClr w14:val="tx1"/>
                      </w14:solidFill>
                    </w14:textFill>
                  </w:rPr>
                </m:ctrlPr>
              </m:e>
            </m:nary>
            <m:ctrlPr>
              <w:rPr>
                <w:rFonts w:ascii="Cambria Math" w:hAnsi="Cambria Math" w:eastAsia="Times New Roman" w:cs="Verdana"/>
                <w:color w:val="000000" w:themeColor="text1"/>
                <w:sz w:val="22"/>
                <w:szCs w:val="22"/>
                <w:lang w:eastAsia="it-IT"/>
                <w14:textFill>
                  <w14:solidFill>
                    <w14:schemeClr w14:val="tx1"/>
                  </w14:solidFill>
                </w14:textFill>
              </w:rPr>
            </m:ctrlPr>
          </m:e>
        </m:d>
        <m:r>
          <m:rPr>
            <m:sty m:val="p"/>
          </m:rPr>
          <w:rPr>
            <w:rFonts w:ascii="Cambria Math" w:hAnsi="Cambria Math" w:eastAsia="Times New Roman" w:cs="Verdana"/>
            <w:color w:val="000000" w:themeColor="text1"/>
            <w:sz w:val="22"/>
            <w:szCs w:val="22"/>
            <w:lang w:eastAsia="it-IT"/>
            <w14:textFill>
              <w14:solidFill>
                <w14:schemeClr w14:val="tx1"/>
              </w14:solidFill>
            </w14:textFill>
          </w:rPr>
          <m:t>∘</m:t>
        </m:r>
        <m:d>
          <m:dPr>
            <m:begChr m:val="["/>
            <m:endChr m:val="]"/>
            <m:ctrlPr>
              <w:rPr>
                <w:rFonts w:ascii="Cambria Math" w:hAnsi="Cambria Math" w:eastAsia="Times New Roman" w:cs="Verdana"/>
                <w:i/>
                <w:color w:val="000000" w:themeColor="text1"/>
                <w:sz w:val="22"/>
                <w:szCs w:val="22"/>
                <w:lang w:eastAsia="it-IT"/>
                <w14:textFill>
                  <w14:solidFill>
                    <w14:schemeClr w14:val="tx1"/>
                  </w14:solidFill>
                </w14:textFill>
              </w:rPr>
            </m:ctrlPr>
          </m:dPr>
          <m:e>
            <m:r>
              <m:rPr/>
              <w:rPr>
                <w:rFonts w:ascii="Cambria Math" w:hAnsi="Cambria Math" w:eastAsia="Times New Roman" w:cs="Verdana"/>
                <w:color w:val="000000" w:themeColor="text1"/>
                <w:sz w:val="22"/>
                <w:szCs w:val="22"/>
                <w:lang w:eastAsia="it-IT"/>
                <w14:textFill>
                  <w14:solidFill>
                    <w14:schemeClr w14:val="tx1"/>
                  </w14:solidFill>
                </w14:textFill>
              </w:rPr>
              <m:t>IL=0=&gt;</m:t>
            </m:r>
            <m:nary>
              <m:naryPr>
                <m:chr m:val="∑"/>
                <m:limLoc m:val="undOvr"/>
                <m:ctrlPr>
                  <w:rPr>
                    <w:rFonts w:ascii="Cambria Math" w:hAnsi="Cambria Math" w:eastAsia="Times New Roman" w:cs="Verdana"/>
                    <w:i/>
                    <w:color w:val="000000" w:themeColor="text1"/>
                    <w:sz w:val="22"/>
                    <w:szCs w:val="22"/>
                    <w:lang w:eastAsia="it-IT"/>
                    <w14:textFill>
                      <w14:solidFill>
                        <w14:schemeClr w14:val="tx1"/>
                      </w14:solidFill>
                    </w14:textFill>
                  </w:rPr>
                </m:ctrlPr>
              </m:naryPr>
              <m:sub>
                <m:r>
                  <m:rPr/>
                  <w:rPr>
                    <w:rFonts w:ascii="Cambria Math" w:hAnsi="Cambria Math" w:eastAsia="Times New Roman" w:cs="Verdana"/>
                    <w:color w:val="000000" w:themeColor="text1"/>
                    <w:sz w:val="22"/>
                    <w:szCs w:val="22"/>
                    <w:lang w:eastAsia="it-IT"/>
                    <w14:textFill>
                      <w14:solidFill>
                        <w14:schemeClr w14:val="tx1"/>
                      </w14:solidFill>
                    </w14:textFill>
                  </w:rPr>
                  <m:t>n=0</m:t>
                </m:r>
                <m:ctrlPr>
                  <w:rPr>
                    <w:rFonts w:ascii="Cambria Math" w:hAnsi="Cambria Math" w:eastAsia="Times New Roman" w:cs="Verdana"/>
                    <w:i/>
                    <w:color w:val="000000" w:themeColor="text1"/>
                    <w:sz w:val="22"/>
                    <w:szCs w:val="22"/>
                    <w:lang w:eastAsia="it-IT"/>
                    <w14:textFill>
                      <w14:solidFill>
                        <w14:schemeClr w14:val="tx1"/>
                      </w14:solidFill>
                    </w14:textFill>
                  </w:rPr>
                </m:ctrlPr>
              </m:sub>
              <m:sup>
                <m:r>
                  <m:rPr/>
                  <w:rPr>
                    <w:rFonts w:ascii="Cambria Math" w:hAnsi="Cambria Math" w:eastAsia="Times New Roman" w:cs="Verdana"/>
                    <w:color w:val="000000" w:themeColor="text1"/>
                    <w:sz w:val="22"/>
                    <w:szCs w:val="22"/>
                    <w:lang w:eastAsia="it-IT"/>
                    <w14:textFill>
                      <w14:solidFill>
                        <w14:schemeClr w14:val="tx1"/>
                      </w14:solidFill>
                    </w14:textFill>
                  </w:rPr>
                  <m:t>∞</m:t>
                </m:r>
                <m:ctrlPr>
                  <w:rPr>
                    <w:rFonts w:ascii="Cambria Math" w:hAnsi="Cambria Math" w:eastAsia="Times New Roman" w:cs="Verdana"/>
                    <w:i/>
                    <w:color w:val="000000" w:themeColor="text1"/>
                    <w:sz w:val="22"/>
                    <w:szCs w:val="22"/>
                    <w:lang w:eastAsia="it-IT"/>
                    <w14:textFill>
                      <w14:solidFill>
                        <w14:schemeClr w14:val="tx1"/>
                      </w14:solidFill>
                    </w14:textFill>
                  </w:rPr>
                </m:ctrlPr>
              </m:sup>
              <m:e>
                <m:r>
                  <m:rPr/>
                  <w:rPr>
                    <w:rFonts w:ascii="Cambria Math" w:hAnsi="Cambria Math" w:eastAsia="Times New Roman" w:cs="Verdana"/>
                    <w:color w:val="000000" w:themeColor="text1"/>
                    <w:sz w:val="22"/>
                    <w:szCs w:val="22"/>
                    <w:lang w:eastAsia="it-IT"/>
                    <w14:textFill>
                      <w14:solidFill>
                        <w14:schemeClr w14:val="tx1"/>
                      </w14:solidFill>
                    </w14:textFill>
                  </w:rPr>
                  <m:t xml:space="preserve">AL </m:t>
                </m:r>
                <m:d>
                  <m:dPr>
                    <m:ctrlPr>
                      <w:rPr>
                        <w:rFonts w:ascii="Cambria Math" w:hAnsi="Cambria Math" w:eastAsia="Times New Roman" w:cs="Verdana"/>
                        <w:i/>
                        <w:color w:val="000000" w:themeColor="text1"/>
                        <w:sz w:val="22"/>
                        <w:szCs w:val="22"/>
                        <w:lang w:eastAsia="it-IT"/>
                        <w14:textFill>
                          <w14:solidFill>
                            <w14:schemeClr w14:val="tx1"/>
                          </w14:solidFill>
                        </w14:textFill>
                      </w:rPr>
                    </m:ctrlPr>
                  </m:dPr>
                  <m:e>
                    <m:r>
                      <m:rPr/>
                      <w:rPr>
                        <w:rFonts w:ascii="Cambria Math" w:hAnsi="Cambria Math" w:eastAsia="Times New Roman" w:cs="Verdana"/>
                        <w:color w:val="000000" w:themeColor="text1"/>
                        <w:sz w:val="22"/>
                        <w:szCs w:val="22"/>
                        <w:lang w:eastAsia="it-IT"/>
                        <w14:textFill>
                          <w14:solidFill>
                            <w14:schemeClr w14:val="tx1"/>
                          </w14:solidFill>
                        </w14:textFill>
                      </w:rPr>
                      <m:t>n</m:t>
                    </m:r>
                    <m:ctrlPr>
                      <w:rPr>
                        <w:rFonts w:ascii="Cambria Math" w:hAnsi="Cambria Math" w:eastAsia="Times New Roman" w:cs="Verdana"/>
                        <w:i/>
                        <w:color w:val="000000" w:themeColor="text1"/>
                        <w:sz w:val="22"/>
                        <w:szCs w:val="22"/>
                        <w:lang w:eastAsia="it-IT"/>
                        <w14:textFill>
                          <w14:solidFill>
                            <w14:schemeClr w14:val="tx1"/>
                          </w14:solidFill>
                        </w14:textFill>
                      </w:rPr>
                    </m:ctrlPr>
                  </m:e>
                </m:d>
                <m:ctrlPr>
                  <w:rPr>
                    <w:rFonts w:ascii="Cambria Math" w:hAnsi="Cambria Math" w:eastAsia="Times New Roman" w:cs="Verdana"/>
                    <w:i/>
                    <w:color w:val="000000" w:themeColor="text1"/>
                    <w:sz w:val="22"/>
                    <w:szCs w:val="22"/>
                    <w:lang w:eastAsia="it-IT"/>
                    <w14:textFill>
                      <w14:solidFill>
                        <w14:schemeClr w14:val="tx1"/>
                      </w14:solidFill>
                    </w14:textFill>
                  </w:rPr>
                </m:ctrlPr>
              </m:e>
            </m:nary>
            <m:ctrlPr>
              <w:rPr>
                <w:rFonts w:ascii="Cambria Math" w:hAnsi="Cambria Math" w:eastAsia="Times New Roman" w:cs="Verdana"/>
                <w:i/>
                <w:color w:val="000000" w:themeColor="text1"/>
                <w:sz w:val="22"/>
                <w:szCs w:val="22"/>
                <w:lang w:eastAsia="it-IT"/>
                <w14:textFill>
                  <w14:solidFill>
                    <w14:schemeClr w14:val="tx1"/>
                  </w14:solidFill>
                </w14:textFill>
              </w:rPr>
            </m:ctrlPr>
          </m:e>
        </m:d>
        <m:r>
          <m:rPr/>
          <w:rPr>
            <w:rFonts w:ascii="Cambria Math" w:hAnsi="Cambria Math" w:eastAsia="Times New Roman" w:cs="Verdana"/>
            <w:color w:val="000000" w:themeColor="text1"/>
            <w:sz w:val="22"/>
            <w:szCs w:val="22"/>
            <w:lang w:eastAsia="it-IT"/>
            <w14:textFill>
              <w14:solidFill>
                <w14:schemeClr w14:val="tx1"/>
              </w14:solidFill>
            </w14:textFill>
          </w:rPr>
          <m:t xml:space="preserve"> </m:t>
        </m:r>
        <m:r>
          <m:rPr>
            <m:sty m:val="p"/>
          </m:rPr>
          <w:rPr>
            <w:rFonts w:ascii="Cambria Math" w:hAnsi="Cambria Math" w:eastAsia="Times New Roman" w:cs="Verdana"/>
            <w:color w:val="000000" w:themeColor="text1"/>
            <w:sz w:val="22"/>
            <w:szCs w:val="22"/>
            <w:lang w:eastAsia="it-IT"/>
            <w14:textFill>
              <w14:solidFill>
                <w14:schemeClr w14:val="tx1"/>
              </w14:solidFill>
            </w14:textFill>
          </w:rPr>
          <m:t>∘</m:t>
        </m:r>
        <m:d>
          <m:dPr>
            <m:begChr m:val="{"/>
            <m:endChr m:val=""/>
            <m:ctrlPr>
              <w:rPr>
                <w:rFonts w:ascii="Cambria Math" w:hAnsi="Cambria Math" w:eastAsia="Times New Roman" w:cs="Verdana"/>
                <w:i/>
                <w:color w:val="000000" w:themeColor="text1"/>
                <w:sz w:val="22"/>
                <w:szCs w:val="22"/>
                <w:lang w:eastAsia="it-IT"/>
                <w14:textFill>
                  <w14:solidFill>
                    <w14:schemeClr w14:val="tx1"/>
                  </w14:solidFill>
                </w14:textFill>
              </w:rPr>
            </m:ctrlPr>
          </m:dPr>
          <m:e>
            <m:r>
              <m:rPr/>
              <w:rPr>
                <w:rFonts w:ascii="Cambria Math" w:hAnsi="Cambria Math" w:eastAsia="Times New Roman" w:cs="Verdana"/>
                <w:color w:val="000000" w:themeColor="text1"/>
                <w:sz w:val="22"/>
                <w:szCs w:val="22"/>
                <w:lang w:eastAsia="it-IT"/>
                <w14:textFill>
                  <w14:solidFill>
                    <w14:schemeClr w14:val="tx1"/>
                  </w14:solidFill>
                </w14:textFill>
              </w:rPr>
              <m:t>AL≈0=&gt;</m:t>
            </m:r>
            <m:nary>
              <m:naryPr>
                <m:chr m:val="∑"/>
                <m:limLoc m:val="undOvr"/>
                <m:ctrlPr>
                  <w:rPr>
                    <w:rFonts w:ascii="Cambria Math" w:hAnsi="Cambria Math" w:eastAsia="Times New Roman" w:cs="Verdana"/>
                    <w:i/>
                    <w:color w:val="000000" w:themeColor="text1"/>
                    <w:sz w:val="22"/>
                    <w:szCs w:val="22"/>
                    <w:lang w:eastAsia="it-IT"/>
                    <w14:textFill>
                      <w14:solidFill>
                        <w14:schemeClr w14:val="tx1"/>
                      </w14:solidFill>
                    </w14:textFill>
                  </w:rPr>
                </m:ctrlPr>
              </m:naryPr>
              <m:sub>
                <m:r>
                  <m:rPr/>
                  <w:rPr>
                    <w:rFonts w:ascii="Cambria Math" w:hAnsi="Cambria Math" w:eastAsia="Times New Roman" w:cs="Verdana"/>
                    <w:color w:val="000000" w:themeColor="text1"/>
                    <w:sz w:val="22"/>
                    <w:szCs w:val="22"/>
                    <w:lang w:eastAsia="it-IT"/>
                    <w14:textFill>
                      <w14:solidFill>
                        <w14:schemeClr w14:val="tx1"/>
                      </w14:solidFill>
                    </w14:textFill>
                  </w:rPr>
                  <m:t>n=0</m:t>
                </m:r>
                <m:ctrlPr>
                  <w:rPr>
                    <w:rFonts w:ascii="Cambria Math" w:hAnsi="Cambria Math" w:eastAsia="Times New Roman" w:cs="Verdana"/>
                    <w:i/>
                    <w:color w:val="000000" w:themeColor="text1"/>
                    <w:sz w:val="22"/>
                    <w:szCs w:val="22"/>
                    <w:lang w:eastAsia="it-IT"/>
                    <w14:textFill>
                      <w14:solidFill>
                        <w14:schemeClr w14:val="tx1"/>
                      </w14:solidFill>
                    </w14:textFill>
                  </w:rPr>
                </m:ctrlPr>
              </m:sub>
              <m:sup>
                <m:r>
                  <m:rPr/>
                  <w:rPr>
                    <w:rFonts w:ascii="Cambria Math" w:hAnsi="Cambria Math" w:eastAsia="Times New Roman" w:cs="Verdana"/>
                    <w:color w:val="000000" w:themeColor="text1"/>
                    <w:sz w:val="22"/>
                    <w:szCs w:val="22"/>
                    <w:lang w:eastAsia="it-IT"/>
                    <w14:textFill>
                      <w14:solidFill>
                        <w14:schemeClr w14:val="tx1"/>
                      </w14:solidFill>
                    </w14:textFill>
                  </w:rPr>
                  <m:t>∞</m:t>
                </m:r>
                <m:ctrlPr>
                  <w:rPr>
                    <w:rFonts w:ascii="Cambria Math" w:hAnsi="Cambria Math" w:eastAsia="Times New Roman" w:cs="Verdana"/>
                    <w:i/>
                    <w:color w:val="000000" w:themeColor="text1"/>
                    <w:sz w:val="22"/>
                    <w:szCs w:val="22"/>
                    <w:lang w:eastAsia="it-IT"/>
                    <w14:textFill>
                      <w14:solidFill>
                        <w14:schemeClr w14:val="tx1"/>
                      </w14:solidFill>
                    </w14:textFill>
                  </w:rPr>
                </m:ctrlPr>
              </m:sup>
              <m:e>
                <m:r>
                  <m:rPr/>
                  <w:rPr>
                    <w:rFonts w:ascii="Cambria Math" w:hAnsi="Cambria Math" w:eastAsia="Times New Roman" w:cs="Verdana"/>
                    <w:color w:val="000000" w:themeColor="text1"/>
                    <w:sz w:val="22"/>
                    <w:szCs w:val="22"/>
                    <w:lang w:eastAsia="it-IT"/>
                    <w14:textFill>
                      <w14:solidFill>
                        <w14:schemeClr w14:val="tx1"/>
                      </w14:solidFill>
                    </w14:textFill>
                  </w:rPr>
                  <m:t xml:space="preserve">AI </m:t>
                </m:r>
                <m:d>
                  <m:dPr>
                    <m:ctrlPr>
                      <w:rPr>
                        <w:rFonts w:ascii="Cambria Math" w:hAnsi="Cambria Math" w:eastAsia="Times New Roman" w:cs="Verdana"/>
                        <w:i/>
                        <w:color w:val="000000" w:themeColor="text1"/>
                        <w:sz w:val="22"/>
                        <w:szCs w:val="22"/>
                        <w:lang w:eastAsia="it-IT"/>
                        <w14:textFill>
                          <w14:solidFill>
                            <w14:schemeClr w14:val="tx1"/>
                          </w14:solidFill>
                        </w14:textFill>
                      </w:rPr>
                    </m:ctrlPr>
                  </m:dPr>
                  <m:e>
                    <m:r>
                      <m:rPr/>
                      <w:rPr>
                        <w:rFonts w:ascii="Cambria Math" w:hAnsi="Cambria Math" w:eastAsia="Times New Roman" w:cs="Verdana"/>
                        <w:color w:val="000000" w:themeColor="text1"/>
                        <w:sz w:val="22"/>
                        <w:szCs w:val="22"/>
                        <w:lang w:eastAsia="it-IT"/>
                        <w14:textFill>
                          <w14:solidFill>
                            <w14:schemeClr w14:val="tx1"/>
                          </w14:solidFill>
                        </w14:textFill>
                      </w:rPr>
                      <m:t>n</m:t>
                    </m:r>
                    <m:ctrlPr>
                      <w:rPr>
                        <w:rFonts w:ascii="Cambria Math" w:hAnsi="Cambria Math" w:eastAsia="Times New Roman" w:cs="Verdana"/>
                        <w:i/>
                        <w:color w:val="000000" w:themeColor="text1"/>
                        <w:sz w:val="22"/>
                        <w:szCs w:val="22"/>
                        <w:lang w:eastAsia="it-IT"/>
                        <w14:textFill>
                          <w14:solidFill>
                            <w14:schemeClr w14:val="tx1"/>
                          </w14:solidFill>
                        </w14:textFill>
                      </w:rPr>
                    </m:ctrlPr>
                  </m:e>
                </m:d>
                <m:ctrlPr>
                  <w:rPr>
                    <w:rFonts w:ascii="Cambria Math" w:hAnsi="Cambria Math" w:eastAsia="Times New Roman" w:cs="Verdana"/>
                    <w:i/>
                    <w:color w:val="000000" w:themeColor="text1"/>
                    <w:sz w:val="22"/>
                    <w:szCs w:val="22"/>
                    <w:lang w:eastAsia="it-IT"/>
                    <w14:textFill>
                      <w14:solidFill>
                        <w14:schemeClr w14:val="tx1"/>
                      </w14:solidFill>
                    </w14:textFill>
                  </w:rPr>
                </m:ctrlPr>
              </m:e>
            </m:nary>
            <m:ctrlPr>
              <w:rPr>
                <w:rFonts w:ascii="Cambria Math" w:hAnsi="Cambria Math" w:eastAsia="Times New Roman" w:cs="Verdana"/>
                <w:i/>
                <w:color w:val="000000" w:themeColor="text1"/>
                <w:sz w:val="22"/>
                <w:szCs w:val="22"/>
                <w:lang w:eastAsia="it-IT"/>
                <w14:textFill>
                  <w14:solidFill>
                    <w14:schemeClr w14:val="tx1"/>
                  </w14:solidFill>
                </w14:textFill>
              </w:rPr>
            </m:ctrlPr>
          </m:e>
        </m:d>
      </m:oMath>
      <w:r>
        <w:rPr>
          <w:rFonts w:ascii="Verdana" w:hAnsi="Verdana" w:eastAsia="Times New Roman" w:cs="Verdana"/>
          <w:color w:val="000000" w:themeColor="text1"/>
          <w:sz w:val="22"/>
          <w:szCs w:val="22"/>
          <w:lang w:eastAsia="it-IT"/>
          <w14:textFill>
            <w14:solidFill>
              <w14:schemeClr w14:val="tx1"/>
            </w14:solidFill>
          </w14:textFill>
        </w:rPr>
        <w:t>}</w:t>
      </w:r>
    </w:p>
    <w:p>
      <w:pPr>
        <w:jc w:val="both"/>
        <w:rPr>
          <w:rFonts w:ascii="Verdana" w:hAnsi="Verdana" w:cs="Verdana"/>
          <w:sz w:val="22"/>
          <w:szCs w:val="22"/>
        </w:rPr>
      </w:pPr>
    </w:p>
    <w:p>
      <w:pPr>
        <w:jc w:val="both"/>
        <w:rPr>
          <w:rFonts w:ascii="Verdana" w:hAnsi="Verdana" w:cs="Verdana"/>
          <w:sz w:val="22"/>
          <w:szCs w:val="22"/>
        </w:rPr>
      </w:pPr>
      <w:r>
        <w:rPr>
          <w:rFonts w:ascii="Verdana" w:hAnsi="Verdana" w:cs="Verdana"/>
          <w:sz w:val="22"/>
          <w:szCs w:val="22"/>
        </w:rPr>
        <w:t>Un approccio giurimetrico assicura verificabilità della decisione perchè permette un controllo di tutti i singoli passaggi del ragionamento giuridico, neutralizzando motivazioni apparenti o contraddittorie; se si usa la modellizzazione matematica, allora viene neutralizzata ogni fallacia logica riducendo anche il rischio di parzialità nel giudizio.</w:t>
      </w:r>
    </w:p>
    <w:p>
      <w:pPr>
        <w:jc w:val="both"/>
        <w:rPr>
          <w:rFonts w:ascii="Verdana" w:hAnsi="Verdana" w:cs="Verdana"/>
          <w:i/>
          <w:iCs/>
          <w:sz w:val="22"/>
          <w:szCs w:val="22"/>
        </w:rPr>
      </w:pPr>
      <w:r>
        <w:rPr>
          <w:rFonts w:ascii="Verdana" w:hAnsi="Verdana" w:cs="Verdana"/>
          <w:sz w:val="22"/>
          <w:szCs w:val="22"/>
        </w:rPr>
        <w:t xml:space="preserve">Galileo Galilei diceva: </w:t>
      </w:r>
      <w:r>
        <w:rPr>
          <w:rFonts w:ascii="Verdana" w:hAnsi="Verdana" w:cs="Verdana"/>
          <w:i/>
          <w:iCs/>
          <w:sz w:val="22"/>
          <w:szCs w:val="22"/>
        </w:rPr>
        <w:t>misura</w:t>
      </w:r>
      <w:r>
        <w:rPr>
          <w:rStyle w:val="13"/>
          <w:rFonts w:ascii="Verdana" w:hAnsi="Verdana" w:cs="Verdana"/>
          <w:i/>
          <w:iCs/>
          <w:sz w:val="22"/>
          <w:szCs w:val="22"/>
        </w:rPr>
        <w:footnoteReference w:id="48"/>
      </w:r>
      <w:r>
        <w:rPr>
          <w:rFonts w:ascii="Verdana" w:hAnsi="Verdana" w:cs="Verdana"/>
          <w:i/>
          <w:iCs/>
          <w:sz w:val="22"/>
          <w:szCs w:val="22"/>
        </w:rPr>
        <w:t xml:space="preserve"> ciò che è misurabile, e rendi misurabile ciò che non lo è.</w:t>
      </w:r>
    </w:p>
    <w:p>
      <w:pPr>
        <w:jc w:val="both"/>
        <w:rPr>
          <w:rFonts w:ascii="Verdana" w:hAnsi="Verdana" w:eastAsia="Times New Roman"/>
          <w:color w:val="000000" w:themeColor="text1"/>
          <w:sz w:val="22"/>
          <w:szCs w:val="22"/>
          <w:lang w:eastAsia="it-IT"/>
          <w14:textFill>
            <w14:solidFill>
              <w14:schemeClr w14:val="tx1"/>
            </w14:solidFill>
          </w14:textFill>
        </w:rPr>
      </w:pPr>
      <w:r>
        <w:rPr>
          <w:rFonts w:ascii="Verdana" w:hAnsi="Verdana" w:eastAsia="Times New Roman" w:cs="Verdana"/>
          <w:color w:val="000000" w:themeColor="text1"/>
          <w:sz w:val="22"/>
          <w:szCs w:val="22"/>
          <w:lang w:eastAsia="it-IT"/>
          <w14:textFill>
            <w14:solidFill>
              <w14:schemeClr w14:val="tx1"/>
            </w14:solidFill>
          </w14:textFill>
        </w:rPr>
        <w:t>Leibniz diceva</w:t>
      </w:r>
      <w:r>
        <w:rPr>
          <w:rStyle w:val="13"/>
          <w:rFonts w:ascii="Verdana" w:hAnsi="Verdana" w:eastAsia="Times New Roman" w:cs="Verdana"/>
          <w:color w:val="000000" w:themeColor="text1"/>
          <w:sz w:val="22"/>
          <w:szCs w:val="22"/>
          <w:lang w:val="en-US" w:eastAsia="it-IT"/>
          <w14:textFill>
            <w14:solidFill>
              <w14:schemeClr w14:val="tx1"/>
            </w14:solidFill>
          </w14:textFill>
        </w:rPr>
        <w:footnoteReference w:id="49"/>
      </w:r>
      <w:r>
        <w:rPr>
          <w:rFonts w:ascii="Verdana" w:hAnsi="Verdana" w:eastAsia="Times New Roman" w:cs="Verdana"/>
          <w:color w:val="000000" w:themeColor="text1"/>
          <w:sz w:val="22"/>
          <w:szCs w:val="22"/>
          <w:lang w:eastAsia="it-IT"/>
          <w14:textFill>
            <w14:solidFill>
              <w14:schemeClr w14:val="tx1"/>
            </w14:solidFill>
          </w14:textFill>
        </w:rPr>
        <w:t>:</w:t>
      </w:r>
      <w:r>
        <w:rPr>
          <w:rFonts w:ascii="Verdana" w:hAnsi="Verdana" w:eastAsia="Times New Roman" w:cs="Verdana"/>
          <w:i/>
          <w:iCs/>
          <w:color w:val="000000" w:themeColor="text1"/>
          <w:sz w:val="22"/>
          <w:szCs w:val="22"/>
          <w:lang w:eastAsia="it-IT"/>
          <w14:textFill>
            <w14:solidFill>
              <w14:schemeClr w14:val="tx1"/>
            </w14:solidFill>
          </w14:textFill>
        </w:rPr>
        <w:t xml:space="preserve"> l</w:t>
      </w:r>
      <w:r>
        <w:rPr>
          <w:rFonts w:ascii="Verdana" w:hAnsi="Verdana" w:eastAsia="Times New Roman"/>
          <w:i/>
          <w:iCs/>
          <w:color w:val="000000" w:themeColor="text1"/>
          <w:sz w:val="22"/>
          <w:szCs w:val="22"/>
          <w:lang w:eastAsia="it-IT"/>
          <w14:textFill>
            <w14:solidFill>
              <w14:schemeClr w14:val="tx1"/>
            </w14:solidFill>
          </w14:textFill>
        </w:rPr>
        <w:t>e parti, un giorno, di fronte ad una disputa, potranno sedersi e procedere ad un calcolo.</w:t>
      </w:r>
    </w:p>
    <w:p>
      <w:pPr>
        <w:rPr>
          <w:rFonts w:ascii="Verdana" w:hAnsi="Verdana" w:eastAsia="Times New Roman"/>
          <w:color w:val="000000" w:themeColor="text1"/>
          <w:sz w:val="22"/>
          <w:szCs w:val="22"/>
          <w:lang w:eastAsia="it-IT"/>
          <w14:textFill>
            <w14:solidFill>
              <w14:schemeClr w14:val="tx1"/>
            </w14:solidFill>
          </w14:textFill>
        </w:rPr>
      </w:pPr>
      <w:r>
        <w:rPr>
          <w:rFonts w:ascii="Verdana" w:hAnsi="Verdana" w:eastAsia="Times New Roman"/>
          <w:color w:val="000000" w:themeColor="text1"/>
          <w:sz w:val="22"/>
          <w:szCs w:val="22"/>
          <w:lang w:eastAsia="it-IT"/>
          <w14:textFill>
            <w14:solidFill>
              <w14:schemeClr w14:val="tx1"/>
            </w14:solidFill>
          </w14:textFill>
        </w:rPr>
        <w:t xml:space="preserve">E’ quello che </w:t>
      </w:r>
      <w:r>
        <w:rPr>
          <w:rFonts w:hint="default" w:ascii="Verdana" w:hAnsi="Verdana" w:eastAsia="Times New Roman"/>
          <w:color w:val="000000" w:themeColor="text1"/>
          <w:sz w:val="22"/>
          <w:szCs w:val="22"/>
          <w:lang w:val="en-US" w:eastAsia="it-IT"/>
          <w14:textFill>
            <w14:solidFill>
              <w14:schemeClr w14:val="tx1"/>
            </w14:solidFill>
          </w14:textFill>
        </w:rPr>
        <w:t xml:space="preserve">si è provato a fare </w:t>
      </w:r>
      <w:r>
        <w:rPr>
          <w:rFonts w:ascii="Verdana" w:hAnsi="Verdana" w:eastAsia="Times New Roman"/>
          <w:color w:val="000000" w:themeColor="text1"/>
          <w:sz w:val="22"/>
          <w:szCs w:val="22"/>
          <w:lang w:eastAsia="it-IT"/>
          <w14:textFill>
            <w14:solidFill>
              <w14:schemeClr w14:val="tx1"/>
            </w14:solidFill>
          </w14:textFill>
        </w:rPr>
        <w:t>qui:</w:t>
      </w:r>
    </w:p>
    <w:p>
      <w:pPr>
        <w:rPr>
          <w:rFonts w:ascii="Verdana" w:hAnsi="Verdana" w:eastAsia="Times New Roman"/>
          <w:color w:val="000000" w:themeColor="text1"/>
          <w:sz w:val="22"/>
          <w:szCs w:val="22"/>
          <w:lang w:eastAsia="it-IT"/>
          <w14:textFill>
            <w14:solidFill>
              <w14:schemeClr w14:val="tx1"/>
            </w14:solidFill>
          </w14:textFill>
        </w:rPr>
      </w:pPr>
      <w:r>
        <w:rPr>
          <w:rFonts w:ascii="Verdana" w:hAnsi="Verdana" w:eastAsia="Times New Roman"/>
          <w:color w:val="000000" w:themeColor="text1"/>
          <w:sz w:val="22"/>
          <w:szCs w:val="22"/>
          <w:lang w:eastAsia="it-IT"/>
          <w14:textFill>
            <w14:solidFill>
              <w14:schemeClr w14:val="tx1"/>
            </w14:solidFill>
          </w14:textFill>
        </w:rPr>
        <w:t>-abbiamo reso misurabile ciò che non lo era;</w:t>
      </w:r>
    </w:p>
    <w:p>
      <w:pPr>
        <w:rPr>
          <w:rFonts w:ascii="Garamond" w:hAnsi="Garamond" w:eastAsia="Times New Roman" w:cs="Times New Roman"/>
          <w:color w:val="000000" w:themeColor="text1"/>
          <w:lang w:eastAsia="it-IT"/>
          <w14:textFill>
            <w14:solidFill>
              <w14:schemeClr w14:val="tx1"/>
            </w14:solidFill>
          </w14:textFill>
        </w:rPr>
      </w:pPr>
      <w:r>
        <w:rPr>
          <w:rFonts w:ascii="Verdana" w:hAnsi="Verdana" w:eastAsia="Times New Roman"/>
          <w:color w:val="000000" w:themeColor="text1"/>
          <w:sz w:val="22"/>
          <w:szCs w:val="22"/>
          <w:lang w:eastAsia="it-IT"/>
          <w14:textFill>
            <w14:solidFill>
              <w14:schemeClr w14:val="tx1"/>
            </w14:solidFill>
          </w14:textFill>
        </w:rPr>
        <w:t>-di fronte ad una (potenziale) disputa, abbiamo proceduto ad un calcolo.</w:t>
      </w:r>
      <w:r>
        <w:rPr>
          <w:rFonts w:ascii="Verdana" w:hAnsi="Verdana" w:eastAsia="Times New Roman" w:cs="Verdana"/>
          <w:color w:val="000000" w:themeColor="text1"/>
          <w:sz w:val="22"/>
          <w:szCs w:val="22"/>
          <w:lang w:eastAsia="it-IT"/>
          <w14:textFill>
            <w14:solidFill>
              <w14:schemeClr w14:val="tx1"/>
            </w14:solidFill>
          </w14:textFill>
        </w:rPr>
        <w:br w:type="page"/>
      </w:r>
    </w:p>
    <w:p>
      <w:pPr>
        <w:widowControl/>
        <w:pBdr>
          <w:bottom w:val="single" w:color="auto" w:sz="4" w:space="0"/>
        </w:pBdr>
        <w:suppressAutoHyphens w:val="0"/>
        <w:jc w:val="both"/>
        <w:rPr>
          <w:rFonts w:ascii="Verdana" w:hAnsi="Verdana" w:eastAsia="Times New Roman"/>
          <w:bCs/>
          <w:kern w:val="0"/>
          <w:sz w:val="22"/>
          <w:szCs w:val="22"/>
          <w:lang w:eastAsia="it-IT"/>
        </w:rPr>
      </w:pPr>
    </w:p>
    <w:p>
      <w:pPr>
        <w:widowControl/>
        <w:pBdr>
          <w:bottom w:val="single" w:color="auto" w:sz="4" w:space="0"/>
        </w:pBdr>
        <w:suppressAutoHyphens w:val="0"/>
        <w:jc w:val="both"/>
        <w:rPr>
          <w:rFonts w:ascii="Verdana" w:hAnsi="Verdana" w:eastAsia="Times New Roman"/>
          <w:bCs/>
          <w:kern w:val="0"/>
          <w:sz w:val="22"/>
          <w:szCs w:val="22"/>
          <w:lang w:eastAsia="it-IT"/>
        </w:rPr>
      </w:pPr>
    </w:p>
    <w:p>
      <w:pPr>
        <w:widowControl/>
        <w:pBdr>
          <w:bottom w:val="single" w:color="auto" w:sz="4" w:space="0"/>
        </w:pBdr>
        <w:suppressAutoHyphens w:val="0"/>
        <w:jc w:val="both"/>
        <w:rPr>
          <w:rFonts w:ascii="Verdana" w:hAnsi="Verdana" w:eastAsia="Times New Roman"/>
          <w:bCs/>
          <w:kern w:val="0"/>
          <w:sz w:val="22"/>
          <w:szCs w:val="22"/>
          <w:lang w:eastAsia="it-IT"/>
        </w:rPr>
      </w:pPr>
    </w:p>
    <w:p>
      <w:pPr>
        <w:widowControl/>
        <w:suppressAutoHyphens w:val="0"/>
        <w:jc w:val="center"/>
        <w:rPr>
          <w:rFonts w:ascii="Verdana" w:hAnsi="Verdana" w:eastAsia="Times New Roman" w:cs="Times New Roman"/>
          <w:b/>
          <w:bCs/>
          <w:kern w:val="0"/>
          <w:sz w:val="16"/>
          <w:szCs w:val="16"/>
          <w:lang w:eastAsia="it-IT" w:bidi="ar-SA"/>
        </w:rPr>
      </w:pPr>
    </w:p>
    <w:p>
      <w:pPr>
        <w:widowControl/>
        <w:suppressAutoHyphens w:val="0"/>
        <w:jc w:val="center"/>
        <w:rPr>
          <w:rFonts w:ascii="Verdana" w:hAnsi="Verdana" w:eastAsia="Times New Roman" w:cs="Times New Roman"/>
          <w:b/>
          <w:bCs/>
          <w:color w:val="FF0000"/>
          <w:kern w:val="0"/>
          <w:sz w:val="16"/>
          <w:szCs w:val="16"/>
          <w:lang w:eastAsia="it-IT" w:bidi="ar-SA"/>
        </w:rPr>
      </w:pPr>
      <w:r>
        <w:rPr>
          <w:rFonts w:ascii="Verdana" w:hAnsi="Verdana" w:eastAsia="Times New Roman" w:cs="Times New Roman"/>
          <w:b/>
          <w:bCs/>
          <w:color w:val="FF0000"/>
          <w:kern w:val="0"/>
          <w:sz w:val="16"/>
          <w:szCs w:val="16"/>
          <w:lang w:eastAsia="it-IT" w:bidi="ar-SA"/>
        </w:rPr>
        <w:t>Abbonamento Edizione Online</w:t>
      </w:r>
    </w:p>
    <w:p>
      <w:pPr>
        <w:widowControl/>
        <w:suppressAutoHyphens w:val="0"/>
        <w:jc w:val="center"/>
        <w:rPr>
          <w:rFonts w:ascii="Verdana" w:hAnsi="Verdana" w:eastAsia="Times New Roman" w:cs="Times New Roman"/>
          <w:bCs/>
          <w:kern w:val="0"/>
          <w:sz w:val="16"/>
          <w:szCs w:val="16"/>
          <w:lang w:eastAsia="it-IT" w:bidi="ar-SA"/>
        </w:rPr>
      </w:pPr>
      <w:r>
        <w:rPr>
          <w:rFonts w:ascii="Verdana" w:hAnsi="Verdana" w:eastAsia="Times New Roman" w:cs="Times New Roman"/>
          <w:bCs/>
          <w:kern w:val="0"/>
          <w:sz w:val="16"/>
          <w:szCs w:val="16"/>
          <w:lang w:eastAsia="it-IT" w:bidi="ar-SA"/>
        </w:rPr>
        <w:t>Rivista scientifica + banca dati + aggiornamento on-line (7 news al giorno)</w:t>
      </w:r>
    </w:p>
    <w:p>
      <w:pPr>
        <w:widowControl/>
        <w:suppressAutoHyphens w:val="0"/>
        <w:jc w:val="center"/>
        <w:rPr>
          <w:rFonts w:ascii="Verdana" w:hAnsi="Verdana" w:eastAsia="Times New Roman" w:cs="Times New Roman"/>
          <w:bCs/>
          <w:kern w:val="0"/>
          <w:sz w:val="16"/>
          <w:szCs w:val="16"/>
          <w:lang w:eastAsia="it-IT" w:bidi="ar-SA"/>
        </w:rPr>
      </w:pPr>
      <w:r>
        <w:fldChar w:fldCharType="begin"/>
      </w:r>
      <w:r>
        <w:instrText xml:space="preserve"> HYPERLINK "https://www.lanuovaproceduracivile.com/abbonamento-edizione-online/" </w:instrText>
      </w:r>
      <w:r>
        <w:fldChar w:fldCharType="separate"/>
      </w:r>
      <w:r>
        <w:rPr>
          <w:rStyle w:val="16"/>
          <w:rFonts w:ascii="Verdana" w:hAnsi="Verdana" w:eastAsia="Times New Roman" w:cs="Times New Roman"/>
          <w:bCs/>
          <w:kern w:val="0"/>
          <w:sz w:val="16"/>
          <w:szCs w:val="16"/>
          <w:lang w:eastAsia="it-IT" w:bidi="ar-SA"/>
        </w:rPr>
        <w:t>www.lanuovaproceduracivile.com/abbonamento-edizione-online/</w:t>
      </w:r>
      <w:r>
        <w:rPr>
          <w:rStyle w:val="16"/>
          <w:rFonts w:ascii="Verdana" w:hAnsi="Verdana" w:eastAsia="Times New Roman" w:cs="Times New Roman"/>
          <w:bCs/>
          <w:kern w:val="0"/>
          <w:sz w:val="16"/>
          <w:szCs w:val="16"/>
          <w:lang w:eastAsia="it-IT" w:bidi="ar-SA"/>
        </w:rPr>
        <w:fldChar w:fldCharType="end"/>
      </w:r>
    </w:p>
    <w:p>
      <w:pPr>
        <w:widowControl/>
        <w:pBdr>
          <w:bottom w:val="single" w:color="auto" w:sz="4" w:space="0"/>
        </w:pBdr>
        <w:suppressAutoHyphens w:val="0"/>
        <w:jc w:val="both"/>
        <w:rPr>
          <w:rFonts w:ascii="Verdana" w:hAnsi="Verdana" w:eastAsia="Times New Roman"/>
          <w:bCs/>
          <w:kern w:val="0"/>
          <w:sz w:val="22"/>
          <w:szCs w:val="22"/>
          <w:lang w:eastAsia="it-IT"/>
        </w:rPr>
      </w:pPr>
    </w:p>
    <w:p>
      <w:pPr>
        <w:widowControl/>
        <w:suppressAutoHyphens w:val="0"/>
        <w:jc w:val="both"/>
        <w:rPr>
          <w:rFonts w:ascii="Verdana" w:hAnsi="Verdana" w:eastAsia="Times New Roman" w:cs="Times New Roman"/>
          <w:bCs/>
          <w:kern w:val="0"/>
          <w:sz w:val="22"/>
          <w:szCs w:val="22"/>
          <w:lang w:eastAsia="it-IT" w:bidi="ar-SA"/>
        </w:rPr>
      </w:pPr>
    </w:p>
    <w:p>
      <w:pPr>
        <w:widowControl/>
        <w:suppressAutoHyphens w:val="0"/>
        <w:jc w:val="both"/>
        <w:rPr>
          <w:rFonts w:ascii="Verdana" w:hAnsi="Verdana" w:eastAsia="Times New Roman" w:cs="Times New Roman"/>
          <w:bCs/>
          <w:kern w:val="0"/>
          <w:sz w:val="22"/>
          <w:szCs w:val="22"/>
          <w:lang w:eastAsia="it-IT" w:bidi="ar-SA"/>
        </w:rPr>
      </w:pPr>
    </w:p>
    <w:p>
      <w:pPr>
        <w:widowControl/>
        <w:suppressAutoHyphens w:val="0"/>
        <w:jc w:val="both"/>
        <w:rPr>
          <w:rFonts w:ascii="Verdana" w:hAnsi="Verdana" w:eastAsia="Times New Roman" w:cs="Times New Roman"/>
          <w:bCs/>
          <w:kern w:val="0"/>
          <w:sz w:val="22"/>
          <w:szCs w:val="22"/>
          <w:lang w:eastAsia="it-IT" w:bidi="ar-SA"/>
        </w:rPr>
      </w:pPr>
    </w:p>
    <w:p>
      <w:pPr>
        <w:widowControl/>
        <w:suppressAutoHyphens w:val="0"/>
        <w:jc w:val="both"/>
        <w:rPr>
          <w:rFonts w:ascii="Verdana" w:hAnsi="Verdana" w:eastAsia="Times New Roman" w:cs="Times New Roman"/>
          <w:bCs/>
          <w:kern w:val="0"/>
          <w:sz w:val="22"/>
          <w:szCs w:val="22"/>
          <w:lang w:eastAsia="it-IT" w:bidi="ar-SA"/>
        </w:rPr>
      </w:pPr>
    </w:p>
    <w:p>
      <w:pPr>
        <w:jc w:val="center"/>
        <w:rPr>
          <w:rFonts w:ascii="Verdana" w:hAnsi="Verdana"/>
          <w:sz w:val="16"/>
          <w:szCs w:val="16"/>
        </w:rPr>
      </w:pPr>
      <w:r>
        <w:rPr>
          <w:rFonts w:ascii="Verdana" w:hAnsi="Verdana"/>
          <w:b/>
          <w:sz w:val="16"/>
          <w:szCs w:val="16"/>
        </w:rPr>
        <w:t>COORDINATORE Redazionale</w:t>
      </w:r>
      <w:r>
        <w:rPr>
          <w:rFonts w:ascii="Verdana" w:hAnsi="Verdana"/>
          <w:sz w:val="16"/>
          <w:szCs w:val="16"/>
        </w:rPr>
        <w:t>: Giulio SPINA</w:t>
      </w:r>
    </w:p>
    <w:p>
      <w:pPr>
        <w:pBdr>
          <w:bottom w:val="single" w:color="auto" w:sz="6" w:space="1"/>
        </w:pBdr>
        <w:rPr>
          <w:rFonts w:ascii="Verdana" w:hAnsi="Verdana"/>
          <w:sz w:val="16"/>
          <w:szCs w:val="16"/>
        </w:rPr>
      </w:pPr>
    </w:p>
    <w:p>
      <w:pPr>
        <w:jc w:val="center"/>
        <w:rPr>
          <w:rFonts w:ascii="Verdana" w:hAnsi="Verdana"/>
          <w:sz w:val="16"/>
          <w:szCs w:val="16"/>
        </w:rPr>
      </w:pPr>
    </w:p>
    <w:p>
      <w:pPr>
        <w:jc w:val="center"/>
        <w:rPr>
          <w:rFonts w:ascii="Verdana" w:hAnsi="Verdana"/>
          <w:b/>
          <w:bCs/>
          <w:sz w:val="16"/>
          <w:szCs w:val="16"/>
        </w:rPr>
      </w:pPr>
      <w:r>
        <w:rPr>
          <w:rFonts w:ascii="Verdana" w:hAnsi="Verdana"/>
          <w:b/>
          <w:bCs/>
          <w:sz w:val="16"/>
          <w:szCs w:val="16"/>
        </w:rPr>
        <w:t>Comitato REDAZIONALE INTERNAZIONALE:</w:t>
      </w:r>
    </w:p>
    <w:p>
      <w:pPr>
        <w:jc w:val="center"/>
        <w:rPr>
          <w:rFonts w:ascii="Verdana" w:hAnsi="Verdana"/>
          <w:sz w:val="16"/>
          <w:szCs w:val="16"/>
        </w:rPr>
      </w:pPr>
    </w:p>
    <w:p>
      <w:pPr>
        <w:jc w:val="center"/>
        <w:rPr>
          <w:rFonts w:ascii="Verdana" w:hAnsi="Verdana"/>
          <w:sz w:val="16"/>
          <w:szCs w:val="16"/>
          <w:lang w:val="en-US"/>
        </w:rPr>
      </w:pPr>
      <w:r>
        <w:rPr>
          <w:rFonts w:ascii="Verdana" w:hAnsi="Verdana"/>
          <w:sz w:val="16"/>
          <w:szCs w:val="16"/>
          <w:lang w:val="en-US"/>
        </w:rPr>
        <w:t xml:space="preserve">Giovanni Alessi, </w:t>
      </w:r>
      <w:r>
        <w:rPr>
          <w:rFonts w:ascii="Verdana" w:hAnsi="Verdana"/>
          <w:b/>
          <w:sz w:val="16"/>
          <w:szCs w:val="16"/>
          <w:lang w:val="en-US"/>
        </w:rPr>
        <w:t>New York City</w:t>
      </w:r>
      <w:r>
        <w:rPr>
          <w:rFonts w:ascii="Verdana" w:hAnsi="Verdana"/>
          <w:sz w:val="16"/>
          <w:szCs w:val="16"/>
          <w:lang w:val="en-US"/>
        </w:rPr>
        <w:t xml:space="preserve"> (United States of America)</w:t>
      </w:r>
    </w:p>
    <w:p>
      <w:pPr>
        <w:jc w:val="center"/>
        <w:rPr>
          <w:rFonts w:ascii="Verdana" w:hAnsi="Verdana"/>
          <w:sz w:val="16"/>
          <w:szCs w:val="16"/>
        </w:rPr>
      </w:pPr>
      <w:r>
        <w:rPr>
          <w:rFonts w:ascii="Verdana" w:hAnsi="Verdana"/>
          <w:sz w:val="16"/>
          <w:szCs w:val="16"/>
        </w:rPr>
        <w:t xml:space="preserve">Daria Filippelli, </w:t>
      </w:r>
      <w:r>
        <w:rPr>
          <w:rFonts w:ascii="Verdana" w:hAnsi="Verdana"/>
          <w:b/>
          <w:sz w:val="16"/>
          <w:szCs w:val="16"/>
        </w:rPr>
        <w:t>London</w:t>
      </w:r>
      <w:r>
        <w:rPr>
          <w:rFonts w:ascii="Verdana" w:hAnsi="Verdana"/>
          <w:sz w:val="16"/>
          <w:szCs w:val="16"/>
        </w:rPr>
        <w:t xml:space="preserve"> (United Kingdom)</w:t>
      </w:r>
    </w:p>
    <w:p>
      <w:pPr>
        <w:jc w:val="center"/>
        <w:rPr>
          <w:rFonts w:ascii="Verdana" w:hAnsi="Verdana"/>
          <w:sz w:val="16"/>
          <w:szCs w:val="16"/>
        </w:rPr>
      </w:pPr>
      <w:r>
        <w:rPr>
          <w:rFonts w:ascii="Verdana" w:hAnsi="Verdana"/>
          <w:sz w:val="16"/>
          <w:szCs w:val="16"/>
        </w:rPr>
        <w:t xml:space="preserve"> Wylia Parente, </w:t>
      </w:r>
      <w:r>
        <w:rPr>
          <w:rFonts w:ascii="Verdana" w:hAnsi="Verdana"/>
          <w:b/>
          <w:sz w:val="16"/>
          <w:szCs w:val="16"/>
        </w:rPr>
        <w:t>Amsterdam</w:t>
      </w:r>
      <w:r>
        <w:rPr>
          <w:rFonts w:ascii="Verdana" w:hAnsi="Verdana"/>
          <w:sz w:val="16"/>
          <w:szCs w:val="16"/>
        </w:rPr>
        <w:t xml:space="preserve"> (Nederland)</w:t>
      </w:r>
    </w:p>
    <w:p>
      <w:pPr>
        <w:pBdr>
          <w:bottom w:val="single" w:color="auto" w:sz="6" w:space="1"/>
        </w:pBdr>
        <w:jc w:val="center"/>
        <w:rPr>
          <w:rFonts w:ascii="Verdana" w:hAnsi="Verdana"/>
          <w:sz w:val="16"/>
          <w:szCs w:val="16"/>
        </w:rPr>
      </w:pPr>
    </w:p>
    <w:p>
      <w:pPr>
        <w:jc w:val="center"/>
        <w:rPr>
          <w:rFonts w:ascii="Verdana" w:hAnsi="Verdana"/>
          <w:sz w:val="16"/>
          <w:szCs w:val="16"/>
        </w:rPr>
      </w:pPr>
    </w:p>
    <w:p>
      <w:pPr>
        <w:jc w:val="center"/>
        <w:rPr>
          <w:rFonts w:ascii="Verdana" w:hAnsi="Verdana"/>
          <w:b/>
          <w:bCs/>
          <w:sz w:val="16"/>
          <w:szCs w:val="16"/>
        </w:rPr>
      </w:pPr>
      <w:r>
        <w:rPr>
          <w:rFonts w:ascii="Verdana" w:hAnsi="Verdana"/>
          <w:b/>
          <w:bCs/>
          <w:sz w:val="16"/>
          <w:szCs w:val="16"/>
        </w:rPr>
        <w:t>Comitato REDAZIONALE NAZIONALE:</w:t>
      </w:r>
    </w:p>
    <w:p>
      <w:pPr>
        <w:jc w:val="center"/>
        <w:rPr>
          <w:rFonts w:ascii="Verdana" w:hAnsi="Verdana"/>
          <w:sz w:val="16"/>
          <w:szCs w:val="16"/>
        </w:rPr>
      </w:pPr>
    </w:p>
    <w:p>
      <w:pPr>
        <w:jc w:val="center"/>
        <w:rPr>
          <w:rFonts w:ascii="Verdana" w:hAnsi="Verdana"/>
          <w:sz w:val="16"/>
          <w:szCs w:val="16"/>
        </w:rPr>
      </w:pPr>
      <w:r>
        <w:rPr>
          <w:rFonts w:ascii="Verdana" w:hAnsi="Verdana"/>
          <w:sz w:val="16"/>
          <w:szCs w:val="16"/>
        </w:rPr>
        <w:t>Jacopo Maria Abruzzo (</w:t>
      </w:r>
      <w:r>
        <w:rPr>
          <w:rFonts w:ascii="Verdana" w:hAnsi="Verdana"/>
          <w:b/>
          <w:sz w:val="16"/>
          <w:szCs w:val="16"/>
        </w:rPr>
        <w:t>Cosenza</w:t>
      </w:r>
      <w:r>
        <w:rPr>
          <w:rFonts w:ascii="Verdana" w:hAnsi="Verdana"/>
          <w:sz w:val="16"/>
          <w:szCs w:val="16"/>
        </w:rPr>
        <w:t>), Danilo Aloe (</w:t>
      </w:r>
      <w:r>
        <w:rPr>
          <w:rFonts w:ascii="Verdana" w:hAnsi="Verdana"/>
          <w:b/>
          <w:sz w:val="16"/>
          <w:szCs w:val="16"/>
        </w:rPr>
        <w:t>Cosenza</w:t>
      </w:r>
      <w:r>
        <w:rPr>
          <w:rFonts w:ascii="Verdana" w:hAnsi="Verdana"/>
          <w:sz w:val="16"/>
          <w:szCs w:val="16"/>
        </w:rPr>
        <w:t>),  Arcangelo Giuseppe Annunziata (</w:t>
      </w:r>
      <w:r>
        <w:rPr>
          <w:rFonts w:ascii="Verdana" w:hAnsi="Verdana"/>
          <w:b/>
          <w:sz w:val="16"/>
          <w:szCs w:val="16"/>
        </w:rPr>
        <w:t>Bari</w:t>
      </w:r>
      <w:r>
        <w:rPr>
          <w:rFonts w:ascii="Verdana" w:hAnsi="Verdana"/>
          <w:sz w:val="16"/>
          <w:szCs w:val="16"/>
        </w:rPr>
        <w:t>), Valentino Aventaggiato (</w:t>
      </w:r>
      <w:r>
        <w:rPr>
          <w:rFonts w:ascii="Verdana" w:hAnsi="Verdana"/>
          <w:b/>
          <w:sz w:val="16"/>
          <w:szCs w:val="16"/>
        </w:rPr>
        <w:t>Lecce</w:t>
      </w:r>
      <w:r>
        <w:rPr>
          <w:rFonts w:ascii="Verdana" w:hAnsi="Verdana"/>
          <w:sz w:val="16"/>
          <w:szCs w:val="16"/>
        </w:rPr>
        <w:t>),  Paolo Baiocchetti (</w:t>
      </w:r>
      <w:r>
        <w:rPr>
          <w:rFonts w:ascii="Verdana" w:hAnsi="Verdana"/>
          <w:b/>
          <w:sz w:val="16"/>
          <w:szCs w:val="16"/>
        </w:rPr>
        <w:t>l’Aquila</w:t>
      </w:r>
      <w:r>
        <w:rPr>
          <w:rFonts w:ascii="Verdana" w:hAnsi="Verdana"/>
          <w:sz w:val="16"/>
          <w:szCs w:val="16"/>
        </w:rPr>
        <w:t>), Elena Bassoli (</w:t>
      </w:r>
      <w:r>
        <w:rPr>
          <w:rFonts w:ascii="Verdana" w:hAnsi="Verdana"/>
          <w:b/>
          <w:sz w:val="16"/>
          <w:szCs w:val="16"/>
        </w:rPr>
        <w:t>Genova</w:t>
      </w:r>
      <w:r>
        <w:rPr>
          <w:rFonts w:ascii="Verdana" w:hAnsi="Verdana"/>
          <w:sz w:val="16"/>
          <w:szCs w:val="16"/>
        </w:rPr>
        <w:t>),  Eleonora Benin (</w:t>
      </w:r>
      <w:r>
        <w:rPr>
          <w:rFonts w:ascii="Verdana" w:hAnsi="Verdana"/>
          <w:b/>
          <w:sz w:val="16"/>
          <w:szCs w:val="16"/>
        </w:rPr>
        <w:t>Bolzano</w:t>
      </w:r>
      <w:r>
        <w:rPr>
          <w:rFonts w:ascii="Verdana" w:hAnsi="Verdana"/>
          <w:sz w:val="16"/>
          <w:szCs w:val="16"/>
        </w:rPr>
        <w:t>), Miriana Bosco (</w:t>
      </w:r>
      <w:r>
        <w:rPr>
          <w:rFonts w:ascii="Verdana" w:hAnsi="Verdana"/>
          <w:b/>
          <w:sz w:val="16"/>
          <w:szCs w:val="16"/>
        </w:rPr>
        <w:t>Bari</w:t>
      </w:r>
      <w:r>
        <w:rPr>
          <w:rFonts w:ascii="Verdana" w:hAnsi="Verdana"/>
          <w:sz w:val="16"/>
          <w:szCs w:val="16"/>
        </w:rPr>
        <w:t>),  Massimo Brunialti (</w:t>
      </w:r>
      <w:r>
        <w:rPr>
          <w:rFonts w:ascii="Verdana" w:hAnsi="Verdana"/>
          <w:b/>
          <w:sz w:val="16"/>
          <w:szCs w:val="16"/>
        </w:rPr>
        <w:t>Bari</w:t>
      </w:r>
      <w:r>
        <w:rPr>
          <w:rFonts w:ascii="Verdana" w:hAnsi="Verdana"/>
          <w:sz w:val="16"/>
          <w:szCs w:val="16"/>
        </w:rPr>
        <w:t>), Elena Bruno (</w:t>
      </w:r>
      <w:r>
        <w:rPr>
          <w:rFonts w:ascii="Verdana" w:hAnsi="Verdana"/>
          <w:b/>
          <w:sz w:val="16"/>
          <w:szCs w:val="16"/>
        </w:rPr>
        <w:t>Napoli</w:t>
      </w:r>
      <w:r>
        <w:rPr>
          <w:rFonts w:ascii="Verdana" w:hAnsi="Verdana"/>
          <w:sz w:val="16"/>
          <w:szCs w:val="16"/>
        </w:rPr>
        <w:t>), Triestina Bruno (</w:t>
      </w:r>
      <w:r>
        <w:rPr>
          <w:rFonts w:ascii="Verdana" w:hAnsi="Verdana"/>
          <w:b/>
          <w:sz w:val="16"/>
          <w:szCs w:val="16"/>
        </w:rPr>
        <w:t>Cosenza</w:t>
      </w:r>
      <w:r>
        <w:rPr>
          <w:rFonts w:ascii="Verdana" w:hAnsi="Verdana"/>
          <w:sz w:val="16"/>
          <w:szCs w:val="16"/>
        </w:rPr>
        <w:t>), Emma Cappuccio (</w:t>
      </w:r>
      <w:r>
        <w:rPr>
          <w:rFonts w:ascii="Verdana" w:hAnsi="Verdana"/>
          <w:b/>
          <w:sz w:val="16"/>
          <w:szCs w:val="16"/>
        </w:rPr>
        <w:t>Napoli</w:t>
      </w:r>
      <w:r>
        <w:rPr>
          <w:rFonts w:ascii="Verdana" w:hAnsi="Verdana"/>
          <w:sz w:val="16"/>
          <w:szCs w:val="16"/>
        </w:rPr>
        <w:t>),  Flavio Cassandro (</w:t>
      </w:r>
      <w:r>
        <w:rPr>
          <w:rFonts w:ascii="Verdana" w:hAnsi="Verdana"/>
          <w:b/>
          <w:sz w:val="16"/>
          <w:szCs w:val="16"/>
        </w:rPr>
        <w:t>Roma</w:t>
      </w:r>
      <w:r>
        <w:rPr>
          <w:rFonts w:ascii="Verdana" w:hAnsi="Verdana"/>
          <w:sz w:val="16"/>
          <w:szCs w:val="16"/>
        </w:rPr>
        <w:t>),  Alessandra Carafa (</w:t>
      </w:r>
      <w:r>
        <w:rPr>
          <w:rFonts w:ascii="Verdana" w:hAnsi="Verdana"/>
          <w:b/>
          <w:sz w:val="16"/>
          <w:szCs w:val="16"/>
        </w:rPr>
        <w:t>L’Aquila</w:t>
      </w:r>
      <w:r>
        <w:rPr>
          <w:rFonts w:ascii="Verdana" w:hAnsi="Verdana"/>
          <w:sz w:val="16"/>
          <w:szCs w:val="16"/>
        </w:rPr>
        <w:t>), Silvia Cardarelli (</w:t>
      </w:r>
      <w:r>
        <w:rPr>
          <w:rFonts w:ascii="Verdana" w:hAnsi="Verdana"/>
          <w:b/>
          <w:sz w:val="16"/>
          <w:szCs w:val="16"/>
        </w:rPr>
        <w:t>Avezzano</w:t>
      </w:r>
      <w:r>
        <w:rPr>
          <w:rFonts w:ascii="Verdana" w:hAnsi="Verdana"/>
          <w:sz w:val="16"/>
          <w:szCs w:val="16"/>
        </w:rPr>
        <w:t>), Carmen Carlucci (</w:t>
      </w:r>
      <w:r>
        <w:rPr>
          <w:rFonts w:ascii="Verdana" w:hAnsi="Verdana"/>
          <w:b/>
          <w:sz w:val="16"/>
          <w:szCs w:val="16"/>
        </w:rPr>
        <w:t>Taranto</w:t>
      </w:r>
      <w:r>
        <w:rPr>
          <w:rFonts w:ascii="Verdana" w:hAnsi="Verdana"/>
          <w:sz w:val="16"/>
          <w:szCs w:val="16"/>
        </w:rPr>
        <w:t>), Laura Carosio (</w:t>
      </w:r>
      <w:r>
        <w:rPr>
          <w:rFonts w:ascii="Verdana" w:hAnsi="Verdana"/>
          <w:b/>
          <w:sz w:val="16"/>
          <w:szCs w:val="16"/>
        </w:rPr>
        <w:t>Genova</w:t>
      </w:r>
      <w:r>
        <w:rPr>
          <w:rFonts w:ascii="Verdana" w:hAnsi="Verdana"/>
          <w:sz w:val="16"/>
          <w:szCs w:val="16"/>
        </w:rPr>
        <w:t>), Giovanni M. Casamento (</w:t>
      </w:r>
      <w:r>
        <w:rPr>
          <w:rFonts w:ascii="Verdana" w:hAnsi="Verdana"/>
          <w:b/>
          <w:sz w:val="16"/>
          <w:szCs w:val="16"/>
        </w:rPr>
        <w:t>Roma</w:t>
      </w:r>
      <w:r>
        <w:rPr>
          <w:rFonts w:ascii="Verdana" w:hAnsi="Verdana"/>
          <w:sz w:val="16"/>
          <w:szCs w:val="16"/>
        </w:rPr>
        <w:t>), Gianluca Cascella (</w:t>
      </w:r>
      <w:r>
        <w:rPr>
          <w:rFonts w:ascii="Verdana" w:hAnsi="Verdana"/>
          <w:b/>
          <w:sz w:val="16"/>
          <w:szCs w:val="16"/>
        </w:rPr>
        <w:t>Napoli</w:t>
      </w:r>
      <w:r>
        <w:rPr>
          <w:rFonts w:ascii="Verdana" w:hAnsi="Verdana"/>
          <w:sz w:val="16"/>
          <w:szCs w:val="16"/>
        </w:rPr>
        <w:t>), Giovanni Cicchitelli (</w:t>
      </w:r>
      <w:r>
        <w:rPr>
          <w:rFonts w:ascii="Verdana" w:hAnsi="Verdana"/>
          <w:b/>
          <w:sz w:val="16"/>
          <w:szCs w:val="16"/>
        </w:rPr>
        <w:t>Cosenza</w:t>
      </w:r>
      <w:r>
        <w:rPr>
          <w:rFonts w:ascii="Verdana" w:hAnsi="Verdana"/>
          <w:sz w:val="16"/>
          <w:szCs w:val="16"/>
        </w:rPr>
        <w:t>), Giulia Civiero (</w:t>
      </w:r>
      <w:r>
        <w:rPr>
          <w:rFonts w:ascii="Verdana" w:hAnsi="Verdana"/>
          <w:b/>
          <w:sz w:val="16"/>
          <w:szCs w:val="16"/>
        </w:rPr>
        <w:t>Treviso</w:t>
      </w:r>
      <w:r>
        <w:rPr>
          <w:rFonts w:ascii="Verdana" w:hAnsi="Verdana"/>
          <w:sz w:val="16"/>
          <w:szCs w:val="16"/>
        </w:rPr>
        <w:t>),  Francesca Colelli (</w:t>
      </w:r>
      <w:r>
        <w:rPr>
          <w:rFonts w:ascii="Verdana" w:hAnsi="Verdana"/>
          <w:b/>
          <w:sz w:val="16"/>
          <w:szCs w:val="16"/>
        </w:rPr>
        <w:t>Roma</w:t>
      </w:r>
      <w:r>
        <w:rPr>
          <w:rFonts w:ascii="Verdana" w:hAnsi="Verdana"/>
          <w:sz w:val="16"/>
          <w:szCs w:val="16"/>
        </w:rPr>
        <w:t>), Valeria Conti (</w:t>
      </w:r>
      <w:r>
        <w:rPr>
          <w:rFonts w:ascii="Verdana" w:hAnsi="Verdana"/>
          <w:b/>
          <w:sz w:val="16"/>
          <w:szCs w:val="16"/>
        </w:rPr>
        <w:t>Bergamo</w:t>
      </w:r>
      <w:r>
        <w:rPr>
          <w:rFonts w:ascii="Verdana" w:hAnsi="Verdana"/>
          <w:sz w:val="16"/>
          <w:szCs w:val="16"/>
        </w:rPr>
        <w:t>), Cristina Contuzzi (</w:t>
      </w:r>
      <w:r>
        <w:rPr>
          <w:rFonts w:ascii="Verdana" w:hAnsi="Verdana"/>
          <w:b/>
          <w:sz w:val="16"/>
          <w:szCs w:val="16"/>
        </w:rPr>
        <w:t>Matera</w:t>
      </w:r>
      <w:r>
        <w:rPr>
          <w:rFonts w:ascii="Verdana" w:hAnsi="Verdana"/>
          <w:sz w:val="16"/>
          <w:szCs w:val="16"/>
        </w:rPr>
        <w:t>), Raffaella Corona (</w:t>
      </w:r>
      <w:r>
        <w:rPr>
          <w:rFonts w:ascii="Verdana" w:hAnsi="Verdana"/>
          <w:b/>
          <w:sz w:val="16"/>
          <w:szCs w:val="16"/>
        </w:rPr>
        <w:t>Roma</w:t>
      </w:r>
      <w:r>
        <w:rPr>
          <w:rFonts w:ascii="Verdana" w:hAnsi="Verdana"/>
          <w:sz w:val="16"/>
          <w:szCs w:val="16"/>
        </w:rPr>
        <w:t>), Mariantonietta Crocitto (</w:t>
      </w:r>
      <w:r>
        <w:rPr>
          <w:rFonts w:ascii="Verdana" w:hAnsi="Verdana"/>
          <w:b/>
          <w:sz w:val="16"/>
          <w:szCs w:val="16"/>
        </w:rPr>
        <w:t>Bari</w:t>
      </w:r>
      <w:r>
        <w:rPr>
          <w:rFonts w:ascii="Verdana" w:hAnsi="Verdana"/>
          <w:sz w:val="16"/>
          <w:szCs w:val="16"/>
        </w:rPr>
        <w:t>), Paolo F. Cuzzola (</w:t>
      </w:r>
      <w:r>
        <w:rPr>
          <w:rFonts w:ascii="Verdana" w:hAnsi="Verdana"/>
          <w:b/>
          <w:sz w:val="16"/>
          <w:szCs w:val="16"/>
        </w:rPr>
        <w:t>Reggio Calabria</w:t>
      </w:r>
      <w:r>
        <w:rPr>
          <w:rFonts w:ascii="Verdana" w:hAnsi="Verdana"/>
          <w:sz w:val="16"/>
          <w:szCs w:val="16"/>
        </w:rPr>
        <w:t>), Giovanni D’Ambrosio (</w:t>
      </w:r>
      <w:r>
        <w:rPr>
          <w:rFonts w:ascii="Verdana" w:hAnsi="Verdana"/>
          <w:b/>
          <w:sz w:val="16"/>
          <w:szCs w:val="16"/>
        </w:rPr>
        <w:t>Napoli</w:t>
      </w:r>
      <w:r>
        <w:rPr>
          <w:rFonts w:ascii="Verdana" w:hAnsi="Verdana"/>
          <w:sz w:val="16"/>
          <w:szCs w:val="16"/>
        </w:rPr>
        <w:t>), Ines De Caria (</w:t>
      </w:r>
      <w:r>
        <w:rPr>
          <w:rFonts w:ascii="Verdana" w:hAnsi="Verdana"/>
          <w:b/>
          <w:sz w:val="16"/>
          <w:szCs w:val="16"/>
        </w:rPr>
        <w:t>Vibo Valentia</w:t>
      </w:r>
      <w:r>
        <w:rPr>
          <w:rFonts w:ascii="Verdana" w:hAnsi="Verdana"/>
          <w:sz w:val="16"/>
          <w:szCs w:val="16"/>
        </w:rPr>
        <w:t>), Shana Del Latte (</w:t>
      </w:r>
      <w:r>
        <w:rPr>
          <w:rFonts w:ascii="Verdana" w:hAnsi="Verdana"/>
          <w:b/>
          <w:sz w:val="16"/>
          <w:szCs w:val="16"/>
        </w:rPr>
        <w:t>Bari</w:t>
      </w:r>
      <w:r>
        <w:rPr>
          <w:rFonts w:ascii="Verdana" w:hAnsi="Verdana"/>
          <w:sz w:val="16"/>
          <w:szCs w:val="16"/>
        </w:rPr>
        <w:t>), Francesco De Leo (</w:t>
      </w:r>
      <w:r>
        <w:rPr>
          <w:rFonts w:ascii="Verdana" w:hAnsi="Verdana"/>
          <w:b/>
          <w:sz w:val="16"/>
          <w:szCs w:val="16"/>
        </w:rPr>
        <w:t>Lecce</w:t>
      </w:r>
      <w:r>
        <w:rPr>
          <w:rFonts w:ascii="Verdana" w:hAnsi="Verdana"/>
          <w:sz w:val="16"/>
          <w:szCs w:val="16"/>
        </w:rPr>
        <w:t>), Maria De Pasquale (</w:t>
      </w:r>
      <w:r>
        <w:rPr>
          <w:rFonts w:ascii="Verdana" w:hAnsi="Verdana"/>
          <w:b/>
          <w:sz w:val="16"/>
          <w:szCs w:val="16"/>
        </w:rPr>
        <w:t>Catanzaro</w:t>
      </w:r>
      <w:r>
        <w:rPr>
          <w:rFonts w:ascii="Verdana" w:hAnsi="Verdana"/>
          <w:sz w:val="16"/>
          <w:szCs w:val="16"/>
        </w:rPr>
        <w:t>),  Anna Del Giudice (</w:t>
      </w:r>
      <w:r>
        <w:rPr>
          <w:rFonts w:ascii="Verdana" w:hAnsi="Verdana"/>
          <w:b/>
          <w:sz w:val="16"/>
          <w:szCs w:val="16"/>
        </w:rPr>
        <w:t>Roma</w:t>
      </w:r>
      <w:r>
        <w:rPr>
          <w:rFonts w:ascii="Verdana" w:hAnsi="Verdana"/>
          <w:sz w:val="16"/>
          <w:szCs w:val="16"/>
        </w:rPr>
        <w:t>), Fabrizio Giuseppe Del Rosso (</w:t>
      </w:r>
      <w:r>
        <w:rPr>
          <w:rFonts w:ascii="Verdana" w:hAnsi="Verdana"/>
          <w:b/>
          <w:sz w:val="16"/>
          <w:szCs w:val="16"/>
        </w:rPr>
        <w:t>Bari</w:t>
      </w:r>
      <w:r>
        <w:rPr>
          <w:rFonts w:ascii="Verdana" w:hAnsi="Verdana"/>
          <w:sz w:val="16"/>
          <w:szCs w:val="16"/>
        </w:rPr>
        <w:t>), Domenico De Rito (</w:t>
      </w:r>
      <w:r>
        <w:rPr>
          <w:rFonts w:ascii="Verdana" w:hAnsi="Verdana"/>
          <w:b/>
          <w:sz w:val="16"/>
          <w:szCs w:val="16"/>
        </w:rPr>
        <w:t>Roma</w:t>
      </w:r>
      <w:r>
        <w:rPr>
          <w:rFonts w:ascii="Verdana" w:hAnsi="Verdana"/>
          <w:sz w:val="16"/>
          <w:szCs w:val="16"/>
        </w:rPr>
        <w:t>), Giovanni De Sanctis (</w:t>
      </w:r>
      <w:r>
        <w:rPr>
          <w:rFonts w:ascii="Verdana" w:hAnsi="Verdana"/>
          <w:b/>
          <w:sz w:val="16"/>
          <w:szCs w:val="16"/>
        </w:rPr>
        <w:t>L’Aquila</w:t>
      </w:r>
      <w:r>
        <w:rPr>
          <w:rFonts w:ascii="Verdana" w:hAnsi="Verdana"/>
          <w:sz w:val="16"/>
          <w:szCs w:val="16"/>
        </w:rPr>
        <w:t>), Silvia Di Iorio (</w:t>
      </w:r>
      <w:r>
        <w:rPr>
          <w:rFonts w:ascii="Verdana" w:hAnsi="Verdana"/>
          <w:b/>
          <w:sz w:val="16"/>
          <w:szCs w:val="16"/>
        </w:rPr>
        <w:t>Pescara</w:t>
      </w:r>
      <w:r>
        <w:rPr>
          <w:rFonts w:ascii="Verdana" w:hAnsi="Verdana"/>
          <w:sz w:val="16"/>
          <w:szCs w:val="16"/>
        </w:rPr>
        <w:t>), Ilaria Di Punzio (</w:t>
      </w:r>
      <w:r>
        <w:rPr>
          <w:rFonts w:ascii="Verdana" w:hAnsi="Verdana"/>
          <w:b/>
          <w:sz w:val="16"/>
          <w:szCs w:val="16"/>
        </w:rPr>
        <w:t>Viterbo</w:t>
      </w:r>
      <w:r>
        <w:rPr>
          <w:rFonts w:ascii="Verdana" w:hAnsi="Verdana"/>
          <w:sz w:val="16"/>
          <w:szCs w:val="16"/>
        </w:rPr>
        <w:t>), Anna Di Stefano (</w:t>
      </w:r>
      <w:r>
        <w:rPr>
          <w:rFonts w:ascii="Verdana" w:hAnsi="Verdana"/>
          <w:b/>
          <w:sz w:val="16"/>
          <w:szCs w:val="16"/>
        </w:rPr>
        <w:t>Reggio Calabria</w:t>
      </w:r>
      <w:r>
        <w:rPr>
          <w:rFonts w:ascii="Verdana" w:hAnsi="Verdana"/>
          <w:sz w:val="16"/>
          <w:szCs w:val="16"/>
        </w:rPr>
        <w:t>), Pietro Elia (</w:t>
      </w:r>
      <w:r>
        <w:rPr>
          <w:rFonts w:ascii="Verdana" w:hAnsi="Verdana"/>
          <w:b/>
          <w:sz w:val="16"/>
          <w:szCs w:val="16"/>
        </w:rPr>
        <w:t>Lecce</w:t>
      </w:r>
      <w:r>
        <w:rPr>
          <w:rFonts w:ascii="Verdana" w:hAnsi="Verdana"/>
          <w:sz w:val="16"/>
          <w:szCs w:val="16"/>
        </w:rPr>
        <w:t>), Eremita Anna Rosa (</w:t>
      </w:r>
      <w:r>
        <w:rPr>
          <w:rFonts w:ascii="Verdana" w:hAnsi="Verdana"/>
          <w:b/>
          <w:sz w:val="16"/>
          <w:szCs w:val="16"/>
        </w:rPr>
        <w:t>Lecce</w:t>
      </w:r>
      <w:r>
        <w:rPr>
          <w:rFonts w:ascii="Verdana" w:hAnsi="Verdana"/>
          <w:sz w:val="16"/>
          <w:szCs w:val="16"/>
        </w:rPr>
        <w:t>), Chiara Fabiani (</w:t>
      </w:r>
      <w:r>
        <w:rPr>
          <w:rFonts w:ascii="Verdana" w:hAnsi="Verdana"/>
          <w:b/>
          <w:sz w:val="16"/>
          <w:szCs w:val="16"/>
        </w:rPr>
        <w:t>Milano</w:t>
      </w:r>
      <w:r>
        <w:rPr>
          <w:rFonts w:ascii="Verdana" w:hAnsi="Verdana"/>
          <w:sz w:val="16"/>
          <w:szCs w:val="16"/>
        </w:rPr>
        <w:t>), Addy Ferro (</w:t>
      </w:r>
      <w:r>
        <w:rPr>
          <w:rFonts w:ascii="Verdana" w:hAnsi="Verdana"/>
          <w:b/>
          <w:sz w:val="16"/>
          <w:szCs w:val="16"/>
        </w:rPr>
        <w:t>Roma</w:t>
      </w:r>
      <w:r>
        <w:rPr>
          <w:rFonts w:ascii="Verdana" w:hAnsi="Verdana"/>
          <w:sz w:val="16"/>
          <w:szCs w:val="16"/>
        </w:rPr>
        <w:t>), Bruno Fiammella (</w:t>
      </w:r>
      <w:r>
        <w:rPr>
          <w:rFonts w:ascii="Verdana" w:hAnsi="Verdana"/>
          <w:b/>
          <w:sz w:val="16"/>
          <w:szCs w:val="16"/>
        </w:rPr>
        <w:t>Reggio Calabria</w:t>
      </w:r>
      <w:r>
        <w:rPr>
          <w:rFonts w:ascii="Verdana" w:hAnsi="Verdana"/>
          <w:sz w:val="16"/>
          <w:szCs w:val="16"/>
        </w:rPr>
        <w:t>), Anna Fittante (</w:t>
      </w:r>
      <w:r>
        <w:rPr>
          <w:rFonts w:ascii="Verdana" w:hAnsi="Verdana"/>
          <w:b/>
          <w:sz w:val="16"/>
          <w:szCs w:val="16"/>
        </w:rPr>
        <w:t>Roma</w:t>
      </w:r>
      <w:r>
        <w:rPr>
          <w:rFonts w:ascii="Verdana" w:hAnsi="Verdana"/>
          <w:sz w:val="16"/>
          <w:szCs w:val="16"/>
        </w:rPr>
        <w:t>), Silvia Foiadelli (</w:t>
      </w:r>
      <w:r>
        <w:rPr>
          <w:rFonts w:ascii="Verdana" w:hAnsi="Verdana"/>
          <w:b/>
          <w:sz w:val="16"/>
          <w:szCs w:val="16"/>
        </w:rPr>
        <w:t>Bergamo</w:t>
      </w:r>
      <w:r>
        <w:rPr>
          <w:rFonts w:ascii="Verdana" w:hAnsi="Verdana"/>
          <w:sz w:val="16"/>
          <w:szCs w:val="16"/>
        </w:rPr>
        <w:t>), Michele Filippelli (</w:t>
      </w:r>
      <w:r>
        <w:rPr>
          <w:rFonts w:ascii="Verdana" w:hAnsi="Verdana"/>
          <w:b/>
          <w:sz w:val="16"/>
          <w:szCs w:val="16"/>
        </w:rPr>
        <w:t>Cosenza</w:t>
      </w:r>
      <w:r>
        <w:rPr>
          <w:rFonts w:ascii="Verdana" w:hAnsi="Verdana"/>
          <w:sz w:val="16"/>
          <w:szCs w:val="16"/>
        </w:rPr>
        <w:t>), Elisa Ghizzi (</w:t>
      </w:r>
      <w:r>
        <w:rPr>
          <w:rFonts w:ascii="Verdana" w:hAnsi="Verdana"/>
          <w:b/>
          <w:sz w:val="16"/>
          <w:szCs w:val="16"/>
        </w:rPr>
        <w:t>Verona</w:t>
      </w:r>
      <w:r>
        <w:rPr>
          <w:rFonts w:ascii="Verdana" w:hAnsi="Verdana"/>
          <w:sz w:val="16"/>
          <w:szCs w:val="16"/>
        </w:rPr>
        <w:t>), Tiziana Giudice (</w:t>
      </w:r>
      <w:r>
        <w:rPr>
          <w:rFonts w:ascii="Verdana" w:hAnsi="Verdana"/>
          <w:b/>
          <w:sz w:val="16"/>
          <w:szCs w:val="16"/>
        </w:rPr>
        <w:t>Catania</w:t>
      </w:r>
      <w:r>
        <w:rPr>
          <w:rFonts w:ascii="Verdana" w:hAnsi="Verdana"/>
          <w:sz w:val="16"/>
          <w:szCs w:val="16"/>
        </w:rPr>
        <w:t>), Valentina Guzzabocca (</w:t>
      </w:r>
      <w:r>
        <w:rPr>
          <w:rFonts w:ascii="Verdana" w:hAnsi="Verdana"/>
          <w:b/>
          <w:sz w:val="16"/>
          <w:szCs w:val="16"/>
        </w:rPr>
        <w:t>Monza</w:t>
      </w:r>
      <w:r>
        <w:rPr>
          <w:rFonts w:ascii="Verdana" w:hAnsi="Verdana"/>
          <w:sz w:val="16"/>
          <w:szCs w:val="16"/>
        </w:rPr>
        <w:t>), Maria Elena Iafolla (</w:t>
      </w:r>
      <w:r>
        <w:rPr>
          <w:rFonts w:ascii="Verdana" w:hAnsi="Verdana"/>
          <w:b/>
          <w:sz w:val="16"/>
          <w:szCs w:val="16"/>
        </w:rPr>
        <w:t>Genova</w:t>
      </w:r>
      <w:r>
        <w:rPr>
          <w:rFonts w:ascii="Verdana" w:hAnsi="Verdana"/>
          <w:sz w:val="16"/>
          <w:szCs w:val="16"/>
        </w:rPr>
        <w:t>), Daphne Iannelli (</w:t>
      </w:r>
      <w:r>
        <w:rPr>
          <w:rFonts w:ascii="Verdana" w:hAnsi="Verdana"/>
          <w:b/>
          <w:sz w:val="16"/>
          <w:szCs w:val="16"/>
        </w:rPr>
        <w:t>Vibo Valentia</w:t>
      </w:r>
      <w:r>
        <w:rPr>
          <w:rFonts w:ascii="Verdana" w:hAnsi="Verdana"/>
          <w:sz w:val="16"/>
          <w:szCs w:val="16"/>
        </w:rPr>
        <w:t>), Daniele Imbò (</w:t>
      </w:r>
      <w:r>
        <w:rPr>
          <w:rFonts w:ascii="Verdana" w:hAnsi="Verdana"/>
          <w:b/>
          <w:sz w:val="16"/>
          <w:szCs w:val="16"/>
        </w:rPr>
        <w:t>Lecce</w:t>
      </w:r>
      <w:r>
        <w:rPr>
          <w:rFonts w:ascii="Verdana" w:hAnsi="Verdana"/>
          <w:sz w:val="16"/>
          <w:szCs w:val="16"/>
        </w:rPr>
        <w:t>), Francesca Imposimato (</w:t>
      </w:r>
      <w:r>
        <w:rPr>
          <w:rFonts w:ascii="Verdana" w:hAnsi="Verdana"/>
          <w:b/>
          <w:sz w:val="16"/>
          <w:szCs w:val="16"/>
        </w:rPr>
        <w:t>Bologna</w:t>
      </w:r>
      <w:r>
        <w:rPr>
          <w:rFonts w:ascii="Verdana" w:hAnsi="Verdana"/>
          <w:sz w:val="16"/>
          <w:szCs w:val="16"/>
        </w:rPr>
        <w:t xml:space="preserve">), Corinne Isoni </w:t>
      </w:r>
      <w:r>
        <w:rPr>
          <w:rFonts w:ascii="Verdana" w:hAnsi="Verdana"/>
          <w:b/>
          <w:sz w:val="16"/>
          <w:szCs w:val="16"/>
        </w:rPr>
        <w:t>(Olbia</w:t>
      </w:r>
      <w:r>
        <w:rPr>
          <w:rFonts w:ascii="Verdana" w:hAnsi="Verdana"/>
          <w:sz w:val="16"/>
          <w:szCs w:val="16"/>
        </w:rPr>
        <w:t>), Domenica Leone (</w:t>
      </w:r>
      <w:r>
        <w:rPr>
          <w:rFonts w:ascii="Verdana" w:hAnsi="Verdana"/>
          <w:b/>
          <w:sz w:val="16"/>
          <w:szCs w:val="16"/>
        </w:rPr>
        <w:t>Taranto</w:t>
      </w:r>
      <w:r>
        <w:rPr>
          <w:rFonts w:ascii="Verdana" w:hAnsi="Verdana"/>
          <w:sz w:val="16"/>
          <w:szCs w:val="16"/>
        </w:rPr>
        <w:t>), Giuseppe Lisella (</w:t>
      </w:r>
      <w:r>
        <w:rPr>
          <w:rFonts w:ascii="Verdana" w:hAnsi="Verdana"/>
          <w:b/>
          <w:sz w:val="16"/>
          <w:szCs w:val="16"/>
        </w:rPr>
        <w:t>Benevento</w:t>
      </w:r>
      <w:r>
        <w:rPr>
          <w:rFonts w:ascii="Verdana" w:hAnsi="Verdana"/>
          <w:sz w:val="16"/>
          <w:szCs w:val="16"/>
        </w:rPr>
        <w:t>), Francesca Locatelli (</w:t>
      </w:r>
      <w:r>
        <w:rPr>
          <w:rFonts w:ascii="Verdana" w:hAnsi="Verdana"/>
          <w:b/>
          <w:sz w:val="16"/>
          <w:szCs w:val="16"/>
        </w:rPr>
        <w:t>Bergamo</w:t>
      </w:r>
      <w:r>
        <w:rPr>
          <w:rFonts w:ascii="Verdana" w:hAnsi="Verdana"/>
          <w:sz w:val="16"/>
          <w:szCs w:val="16"/>
        </w:rPr>
        <w:t>), Gianluca Ludovici (</w:t>
      </w:r>
      <w:r>
        <w:rPr>
          <w:rFonts w:ascii="Verdana" w:hAnsi="Verdana"/>
          <w:b/>
          <w:sz w:val="16"/>
          <w:szCs w:val="16"/>
        </w:rPr>
        <w:t>Rieti</w:t>
      </w:r>
      <w:r>
        <w:rPr>
          <w:rFonts w:ascii="Verdana" w:hAnsi="Verdana"/>
          <w:sz w:val="16"/>
          <w:szCs w:val="16"/>
        </w:rPr>
        <w:t>), Salvatore Magra (</w:t>
      </w:r>
      <w:r>
        <w:rPr>
          <w:rFonts w:ascii="Verdana" w:hAnsi="Verdana"/>
          <w:b/>
          <w:sz w:val="16"/>
          <w:szCs w:val="16"/>
        </w:rPr>
        <w:t>Catania</w:t>
      </w:r>
      <w:r>
        <w:rPr>
          <w:rFonts w:ascii="Verdana" w:hAnsi="Verdana"/>
          <w:sz w:val="16"/>
          <w:szCs w:val="16"/>
        </w:rPr>
        <w:t>), Chiara Medinelli (</w:t>
      </w:r>
      <w:r>
        <w:rPr>
          <w:rFonts w:ascii="Verdana" w:hAnsi="Verdana"/>
          <w:b/>
          <w:sz w:val="16"/>
          <w:szCs w:val="16"/>
        </w:rPr>
        <w:t>Genova</w:t>
      </w:r>
      <w:r>
        <w:rPr>
          <w:rFonts w:ascii="Verdana" w:hAnsi="Verdana"/>
          <w:sz w:val="16"/>
          <w:szCs w:val="16"/>
        </w:rPr>
        <w:t>), Paolo M. Storani (</w:t>
      </w:r>
      <w:r>
        <w:rPr>
          <w:rFonts w:ascii="Verdana" w:hAnsi="Verdana"/>
          <w:b/>
          <w:sz w:val="16"/>
          <w:szCs w:val="16"/>
        </w:rPr>
        <w:t>Macerata</w:t>
      </w:r>
      <w:r>
        <w:rPr>
          <w:rFonts w:ascii="Verdana" w:hAnsi="Verdana"/>
          <w:sz w:val="16"/>
          <w:szCs w:val="16"/>
        </w:rPr>
        <w:t>), Maximilian Mairov (</w:t>
      </w:r>
      <w:r>
        <w:rPr>
          <w:rFonts w:ascii="Verdana" w:hAnsi="Verdana"/>
          <w:b/>
          <w:sz w:val="16"/>
          <w:szCs w:val="16"/>
        </w:rPr>
        <w:t>Milano</w:t>
      </w:r>
      <w:r>
        <w:rPr>
          <w:rFonts w:ascii="Verdana" w:hAnsi="Verdana"/>
          <w:sz w:val="16"/>
          <w:szCs w:val="16"/>
        </w:rPr>
        <w:t>), Damiano Marinelli (</w:t>
      </w:r>
      <w:r>
        <w:rPr>
          <w:rFonts w:ascii="Verdana" w:hAnsi="Verdana"/>
          <w:b/>
          <w:sz w:val="16"/>
          <w:szCs w:val="16"/>
        </w:rPr>
        <w:t>Perugia</w:t>
      </w:r>
      <w:r>
        <w:rPr>
          <w:rFonts w:ascii="Verdana" w:hAnsi="Verdana"/>
          <w:sz w:val="16"/>
          <w:szCs w:val="16"/>
        </w:rPr>
        <w:t>), Giuseppe Marino (</w:t>
      </w:r>
      <w:r>
        <w:rPr>
          <w:rFonts w:ascii="Verdana" w:hAnsi="Verdana"/>
          <w:b/>
          <w:sz w:val="16"/>
          <w:szCs w:val="16"/>
        </w:rPr>
        <w:t>Milano</w:t>
      </w:r>
      <w:r>
        <w:rPr>
          <w:rFonts w:ascii="Verdana" w:hAnsi="Verdana"/>
          <w:sz w:val="16"/>
          <w:szCs w:val="16"/>
        </w:rPr>
        <w:t>), Rossella Marzullo (</w:t>
      </w:r>
      <w:r>
        <w:rPr>
          <w:rFonts w:ascii="Verdana" w:hAnsi="Verdana"/>
          <w:b/>
          <w:sz w:val="16"/>
          <w:szCs w:val="16"/>
        </w:rPr>
        <w:t>Cosenza</w:t>
      </w:r>
      <w:r>
        <w:rPr>
          <w:rFonts w:ascii="Verdana" w:hAnsi="Verdana"/>
          <w:sz w:val="16"/>
          <w:szCs w:val="16"/>
        </w:rPr>
        <w:t>), Stefano Mazzotta (</w:t>
      </w:r>
      <w:r>
        <w:rPr>
          <w:rFonts w:ascii="Verdana" w:hAnsi="Verdana"/>
          <w:b/>
          <w:sz w:val="16"/>
          <w:szCs w:val="16"/>
        </w:rPr>
        <w:t>Roma</w:t>
      </w:r>
      <w:r>
        <w:rPr>
          <w:rFonts w:ascii="Verdana" w:hAnsi="Verdana"/>
          <w:sz w:val="16"/>
          <w:szCs w:val="16"/>
        </w:rPr>
        <w:t>), Marco Mecacci (</w:t>
      </w:r>
      <w:r>
        <w:rPr>
          <w:rFonts w:ascii="Verdana" w:hAnsi="Verdana"/>
          <w:b/>
          <w:sz w:val="16"/>
          <w:szCs w:val="16"/>
        </w:rPr>
        <w:t>Firenze</w:t>
      </w:r>
      <w:r>
        <w:rPr>
          <w:rFonts w:ascii="Verdana" w:hAnsi="Verdana"/>
          <w:sz w:val="16"/>
          <w:szCs w:val="16"/>
        </w:rPr>
        <w:t>), Alessandra Mei (</w:t>
      </w:r>
      <w:r>
        <w:rPr>
          <w:rFonts w:ascii="Verdana" w:hAnsi="Verdana"/>
          <w:b/>
          <w:sz w:val="16"/>
          <w:szCs w:val="16"/>
        </w:rPr>
        <w:t>Roma</w:t>
      </w:r>
      <w:r>
        <w:rPr>
          <w:rFonts w:ascii="Verdana" w:hAnsi="Verdana"/>
          <w:sz w:val="16"/>
          <w:szCs w:val="16"/>
        </w:rPr>
        <w:t>), Giuseppe Donato Nuzzo (</w:t>
      </w:r>
      <w:r>
        <w:rPr>
          <w:rFonts w:ascii="Verdana" w:hAnsi="Verdana"/>
          <w:b/>
          <w:sz w:val="16"/>
          <w:szCs w:val="16"/>
        </w:rPr>
        <w:t>Lecce</w:t>
      </w:r>
      <w:r>
        <w:rPr>
          <w:rFonts w:ascii="Verdana" w:hAnsi="Verdana"/>
          <w:sz w:val="16"/>
          <w:szCs w:val="16"/>
        </w:rPr>
        <w:t>), Emanuela Palamà (</w:t>
      </w:r>
      <w:r>
        <w:rPr>
          <w:rFonts w:ascii="Verdana" w:hAnsi="Verdana"/>
          <w:b/>
          <w:sz w:val="16"/>
          <w:szCs w:val="16"/>
        </w:rPr>
        <w:t>Lecce</w:t>
      </w:r>
      <w:r>
        <w:rPr>
          <w:rFonts w:ascii="Verdana" w:hAnsi="Verdana"/>
          <w:sz w:val="16"/>
          <w:szCs w:val="16"/>
        </w:rPr>
        <w:t>), Andrea Panzera (</w:t>
      </w:r>
      <w:r>
        <w:rPr>
          <w:rFonts w:ascii="Verdana" w:hAnsi="Verdana"/>
          <w:b/>
          <w:sz w:val="16"/>
          <w:szCs w:val="16"/>
        </w:rPr>
        <w:t>Lecce</w:t>
      </w:r>
      <w:r>
        <w:rPr>
          <w:rFonts w:ascii="Verdana" w:hAnsi="Verdana"/>
          <w:sz w:val="16"/>
          <w:szCs w:val="16"/>
        </w:rPr>
        <w:t>), Michele Papalia (</w:t>
      </w:r>
      <w:r>
        <w:rPr>
          <w:rFonts w:ascii="Verdana" w:hAnsi="Verdana"/>
          <w:b/>
          <w:sz w:val="16"/>
          <w:szCs w:val="16"/>
        </w:rPr>
        <w:t>Reggio Calabria</w:t>
      </w:r>
      <w:r>
        <w:rPr>
          <w:rFonts w:ascii="Verdana" w:hAnsi="Verdana"/>
          <w:sz w:val="16"/>
          <w:szCs w:val="16"/>
        </w:rPr>
        <w:t>), Enrico Paratore (</w:t>
      </w:r>
      <w:r>
        <w:rPr>
          <w:rFonts w:ascii="Verdana" w:hAnsi="Verdana"/>
          <w:b/>
          <w:sz w:val="16"/>
          <w:szCs w:val="16"/>
        </w:rPr>
        <w:t>Palmi</w:t>
      </w:r>
      <w:r>
        <w:rPr>
          <w:rFonts w:ascii="Verdana" w:hAnsi="Verdana"/>
          <w:sz w:val="16"/>
          <w:szCs w:val="16"/>
        </w:rPr>
        <w:t>), Filippo Pistone (</w:t>
      </w:r>
      <w:r>
        <w:rPr>
          <w:rFonts w:ascii="Verdana" w:hAnsi="Verdana"/>
          <w:b/>
          <w:sz w:val="16"/>
          <w:szCs w:val="16"/>
        </w:rPr>
        <w:t>Milano</w:t>
      </w:r>
      <w:r>
        <w:rPr>
          <w:rFonts w:ascii="Verdana" w:hAnsi="Verdana"/>
          <w:sz w:val="16"/>
          <w:szCs w:val="16"/>
        </w:rPr>
        <w:t>), Giorgio G. Poli (</w:t>
      </w:r>
      <w:r>
        <w:rPr>
          <w:rFonts w:ascii="Verdana" w:hAnsi="Verdana"/>
          <w:b/>
          <w:sz w:val="16"/>
          <w:szCs w:val="16"/>
        </w:rPr>
        <w:t>Bari</w:t>
      </w:r>
      <w:r>
        <w:rPr>
          <w:rFonts w:ascii="Verdana" w:hAnsi="Verdana"/>
          <w:sz w:val="16"/>
          <w:szCs w:val="16"/>
        </w:rPr>
        <w:t>), Andrea Pontecorvo (</w:t>
      </w:r>
      <w:r>
        <w:rPr>
          <w:rFonts w:ascii="Verdana" w:hAnsi="Verdana"/>
          <w:b/>
          <w:sz w:val="16"/>
          <w:szCs w:val="16"/>
        </w:rPr>
        <w:t>Roma</w:t>
      </w:r>
      <w:r>
        <w:rPr>
          <w:rFonts w:ascii="Verdana" w:hAnsi="Verdana"/>
          <w:sz w:val="16"/>
          <w:szCs w:val="16"/>
        </w:rPr>
        <w:t>), Giovanni Porcelli  (</w:t>
      </w:r>
      <w:r>
        <w:rPr>
          <w:rFonts w:ascii="Verdana" w:hAnsi="Verdana"/>
          <w:b/>
          <w:sz w:val="16"/>
          <w:szCs w:val="16"/>
        </w:rPr>
        <w:t>Bologna</w:t>
      </w:r>
      <w:r>
        <w:rPr>
          <w:rFonts w:ascii="Verdana" w:hAnsi="Verdana"/>
          <w:sz w:val="16"/>
          <w:szCs w:val="16"/>
        </w:rPr>
        <w:t>), Carmen Posillipo (</w:t>
      </w:r>
      <w:r>
        <w:rPr>
          <w:rFonts w:ascii="Verdana" w:hAnsi="Verdana"/>
          <w:b/>
          <w:sz w:val="16"/>
          <w:szCs w:val="16"/>
        </w:rPr>
        <w:t>Caserta</w:t>
      </w:r>
      <w:r>
        <w:rPr>
          <w:rFonts w:ascii="Verdana" w:hAnsi="Verdana"/>
          <w:sz w:val="16"/>
          <w:szCs w:val="16"/>
        </w:rPr>
        <w:t>), Manuela Rinaldi (</w:t>
      </w:r>
      <w:r>
        <w:rPr>
          <w:rFonts w:ascii="Verdana" w:hAnsi="Verdana"/>
          <w:b/>
          <w:sz w:val="16"/>
          <w:szCs w:val="16"/>
        </w:rPr>
        <w:t>Avezzano</w:t>
      </w:r>
      <w:r>
        <w:rPr>
          <w:rFonts w:ascii="Verdana" w:hAnsi="Verdana"/>
          <w:sz w:val="16"/>
          <w:szCs w:val="16"/>
        </w:rPr>
        <w:t>),  Antonio Romano (</w:t>
      </w:r>
      <w:r>
        <w:rPr>
          <w:rFonts w:ascii="Verdana" w:hAnsi="Verdana"/>
          <w:b/>
          <w:sz w:val="16"/>
          <w:szCs w:val="16"/>
        </w:rPr>
        <w:t>Matera</w:t>
      </w:r>
      <w:r>
        <w:rPr>
          <w:rFonts w:ascii="Verdana" w:hAnsi="Verdana"/>
          <w:sz w:val="16"/>
          <w:szCs w:val="16"/>
        </w:rPr>
        <w:t>), Paolo Russo (</w:t>
      </w:r>
      <w:r>
        <w:rPr>
          <w:rFonts w:ascii="Verdana" w:hAnsi="Verdana"/>
          <w:b/>
          <w:sz w:val="16"/>
          <w:szCs w:val="16"/>
        </w:rPr>
        <w:t>Firenze</w:t>
      </w:r>
      <w:r>
        <w:rPr>
          <w:rFonts w:ascii="Verdana" w:hAnsi="Verdana"/>
          <w:sz w:val="16"/>
          <w:szCs w:val="16"/>
        </w:rPr>
        <w:t>), Elena Salemi (</w:t>
      </w:r>
      <w:r>
        <w:rPr>
          <w:rFonts w:ascii="Verdana" w:hAnsi="Verdana"/>
          <w:b/>
          <w:sz w:val="16"/>
          <w:szCs w:val="16"/>
        </w:rPr>
        <w:t>Siracusa</w:t>
      </w:r>
      <w:r>
        <w:rPr>
          <w:rFonts w:ascii="Verdana" w:hAnsi="Verdana"/>
          <w:sz w:val="16"/>
          <w:szCs w:val="16"/>
        </w:rPr>
        <w:t>), Diana Salonia (</w:t>
      </w:r>
      <w:r>
        <w:rPr>
          <w:rFonts w:ascii="Verdana" w:hAnsi="Verdana"/>
          <w:b/>
          <w:sz w:val="16"/>
          <w:szCs w:val="16"/>
        </w:rPr>
        <w:t>Siracusa</w:t>
      </w:r>
      <w:r>
        <w:rPr>
          <w:rFonts w:ascii="Verdana" w:hAnsi="Verdana"/>
          <w:sz w:val="16"/>
          <w:szCs w:val="16"/>
        </w:rPr>
        <w:t>), Rosangela Santosuosso (</w:t>
      </w:r>
      <w:r>
        <w:rPr>
          <w:rFonts w:ascii="Verdana" w:hAnsi="Verdana"/>
          <w:b/>
          <w:sz w:val="16"/>
          <w:szCs w:val="16"/>
        </w:rPr>
        <w:t>Alessandria</w:t>
      </w:r>
      <w:r>
        <w:rPr>
          <w:rFonts w:ascii="Verdana" w:hAnsi="Verdana"/>
          <w:sz w:val="16"/>
          <w:szCs w:val="16"/>
        </w:rPr>
        <w:t>), Jacopo Savi (</w:t>
      </w:r>
      <w:r>
        <w:rPr>
          <w:rFonts w:ascii="Verdana" w:hAnsi="Verdana"/>
          <w:b/>
          <w:sz w:val="16"/>
          <w:szCs w:val="16"/>
        </w:rPr>
        <w:t>Milano</w:t>
      </w:r>
      <w:r>
        <w:rPr>
          <w:rFonts w:ascii="Verdana" w:hAnsi="Verdana"/>
          <w:sz w:val="16"/>
          <w:szCs w:val="16"/>
        </w:rPr>
        <w:t>), Pierpaolo Schiattone (</w:t>
      </w:r>
      <w:r>
        <w:rPr>
          <w:rFonts w:ascii="Verdana" w:hAnsi="Verdana"/>
          <w:b/>
          <w:sz w:val="16"/>
          <w:szCs w:val="16"/>
        </w:rPr>
        <w:t>Lecce</w:t>
      </w:r>
      <w:r>
        <w:rPr>
          <w:rFonts w:ascii="Verdana" w:hAnsi="Verdana"/>
          <w:sz w:val="16"/>
          <w:szCs w:val="16"/>
        </w:rPr>
        <w:t>), Marco Scialdone (</w:t>
      </w:r>
      <w:r>
        <w:rPr>
          <w:rFonts w:ascii="Verdana" w:hAnsi="Verdana"/>
          <w:b/>
          <w:sz w:val="16"/>
          <w:szCs w:val="16"/>
        </w:rPr>
        <w:t>Roma</w:t>
      </w:r>
      <w:r>
        <w:rPr>
          <w:rFonts w:ascii="Verdana" w:hAnsi="Verdana"/>
          <w:sz w:val="16"/>
          <w:szCs w:val="16"/>
        </w:rPr>
        <w:t>), Camilla Serraiotto (</w:t>
      </w:r>
      <w:r>
        <w:rPr>
          <w:rFonts w:ascii="Verdana" w:hAnsi="Verdana"/>
          <w:b/>
          <w:sz w:val="16"/>
          <w:szCs w:val="16"/>
        </w:rPr>
        <w:t>Trieste</w:t>
      </w:r>
      <w:r>
        <w:rPr>
          <w:rFonts w:ascii="Verdana" w:hAnsi="Verdana"/>
          <w:sz w:val="16"/>
          <w:szCs w:val="16"/>
        </w:rPr>
        <w:t>), Valentina Siclari (</w:t>
      </w:r>
      <w:r>
        <w:rPr>
          <w:rFonts w:ascii="Verdana" w:hAnsi="Verdana"/>
          <w:b/>
          <w:sz w:val="16"/>
          <w:szCs w:val="16"/>
        </w:rPr>
        <w:t>Reggio Calabria</w:t>
      </w:r>
      <w:r>
        <w:rPr>
          <w:rFonts w:ascii="Verdana" w:hAnsi="Verdana"/>
          <w:sz w:val="16"/>
          <w:szCs w:val="16"/>
        </w:rPr>
        <w:t>), Annalisa Spedicato (</w:t>
      </w:r>
      <w:r>
        <w:rPr>
          <w:rFonts w:ascii="Verdana" w:hAnsi="Verdana"/>
          <w:b/>
          <w:sz w:val="16"/>
          <w:szCs w:val="16"/>
        </w:rPr>
        <w:t>Lecce</w:t>
      </w:r>
      <w:r>
        <w:rPr>
          <w:rFonts w:ascii="Verdana" w:hAnsi="Verdana"/>
          <w:sz w:val="16"/>
          <w:szCs w:val="16"/>
        </w:rPr>
        <w:t>), Rocchina Staiano (</w:t>
      </w:r>
      <w:r>
        <w:rPr>
          <w:rFonts w:ascii="Verdana" w:hAnsi="Verdana"/>
          <w:b/>
          <w:sz w:val="16"/>
          <w:szCs w:val="16"/>
        </w:rPr>
        <w:t>Salerno</w:t>
      </w:r>
      <w:r>
        <w:rPr>
          <w:rFonts w:ascii="Verdana" w:hAnsi="Verdana"/>
          <w:sz w:val="16"/>
          <w:szCs w:val="16"/>
        </w:rPr>
        <w:t>), Emanuele Taddeolini Marangoni (</w:t>
      </w:r>
      <w:r>
        <w:rPr>
          <w:rFonts w:ascii="Verdana" w:hAnsi="Verdana"/>
          <w:b/>
          <w:sz w:val="16"/>
          <w:szCs w:val="16"/>
        </w:rPr>
        <w:t>Brescia</w:t>
      </w:r>
      <w:r>
        <w:rPr>
          <w:rFonts w:ascii="Verdana" w:hAnsi="Verdana"/>
          <w:sz w:val="16"/>
          <w:szCs w:val="16"/>
        </w:rPr>
        <w:t>), Luca Tantalo (</w:t>
      </w:r>
      <w:r>
        <w:rPr>
          <w:rFonts w:ascii="Verdana" w:hAnsi="Verdana"/>
          <w:b/>
          <w:sz w:val="16"/>
          <w:szCs w:val="16"/>
        </w:rPr>
        <w:t>Roma</w:t>
      </w:r>
      <w:r>
        <w:rPr>
          <w:rFonts w:ascii="Verdana" w:hAnsi="Verdana"/>
          <w:sz w:val="16"/>
          <w:szCs w:val="16"/>
        </w:rPr>
        <w:t>), Marco Tavernese (</w:t>
      </w:r>
      <w:r>
        <w:rPr>
          <w:rFonts w:ascii="Verdana" w:hAnsi="Verdana"/>
          <w:b/>
          <w:sz w:val="16"/>
          <w:szCs w:val="16"/>
        </w:rPr>
        <w:t>Roma</w:t>
      </w:r>
      <w:r>
        <w:rPr>
          <w:rFonts w:ascii="Verdana" w:hAnsi="Verdana"/>
          <w:sz w:val="16"/>
          <w:szCs w:val="16"/>
        </w:rPr>
        <w:t>), Ida Tentorio (</w:t>
      </w:r>
      <w:r>
        <w:rPr>
          <w:rFonts w:ascii="Verdana" w:hAnsi="Verdana"/>
          <w:b/>
          <w:sz w:val="16"/>
          <w:szCs w:val="16"/>
        </w:rPr>
        <w:t>Bergamo</w:t>
      </w:r>
      <w:r>
        <w:rPr>
          <w:rFonts w:ascii="Verdana" w:hAnsi="Verdana"/>
          <w:sz w:val="16"/>
          <w:szCs w:val="16"/>
        </w:rPr>
        <w:t>), Fabrizio Testa (</w:t>
      </w:r>
      <w:r>
        <w:rPr>
          <w:rFonts w:ascii="Verdana" w:hAnsi="Verdana"/>
          <w:b/>
          <w:sz w:val="16"/>
          <w:szCs w:val="16"/>
        </w:rPr>
        <w:t>Saluzzo</w:t>
      </w:r>
      <w:r>
        <w:rPr>
          <w:rFonts w:ascii="Verdana" w:hAnsi="Verdana"/>
          <w:sz w:val="16"/>
          <w:szCs w:val="16"/>
        </w:rPr>
        <w:t>), Paola Todini (</w:t>
      </w:r>
      <w:r>
        <w:rPr>
          <w:rFonts w:ascii="Verdana" w:hAnsi="Verdana"/>
          <w:b/>
          <w:sz w:val="16"/>
          <w:szCs w:val="16"/>
        </w:rPr>
        <w:t>Roma</w:t>
      </w:r>
      <w:r>
        <w:rPr>
          <w:rFonts w:ascii="Verdana" w:hAnsi="Verdana"/>
          <w:sz w:val="16"/>
          <w:szCs w:val="16"/>
        </w:rPr>
        <w:t>), Fabrizio Tommasi (</w:t>
      </w:r>
      <w:r>
        <w:rPr>
          <w:rFonts w:ascii="Verdana" w:hAnsi="Verdana"/>
          <w:b/>
          <w:sz w:val="16"/>
          <w:szCs w:val="16"/>
        </w:rPr>
        <w:t>Lecce</w:t>
      </w:r>
      <w:r>
        <w:rPr>
          <w:rFonts w:ascii="Verdana" w:hAnsi="Verdana"/>
          <w:sz w:val="16"/>
          <w:szCs w:val="16"/>
        </w:rPr>
        <w:t>), Mauro Tosoni (</w:t>
      </w:r>
      <w:r>
        <w:rPr>
          <w:rFonts w:ascii="Verdana" w:hAnsi="Verdana"/>
          <w:b/>
          <w:sz w:val="16"/>
          <w:szCs w:val="16"/>
        </w:rPr>
        <w:t>Lecco</w:t>
      </w:r>
      <w:r>
        <w:rPr>
          <w:rFonts w:ascii="Verdana" w:hAnsi="Verdana"/>
          <w:sz w:val="16"/>
          <w:szCs w:val="16"/>
        </w:rPr>
        <w:t>), Salvatore Trigilia (</w:t>
      </w:r>
      <w:r>
        <w:rPr>
          <w:rFonts w:ascii="Verdana" w:hAnsi="Verdana"/>
          <w:b/>
          <w:sz w:val="16"/>
          <w:szCs w:val="16"/>
        </w:rPr>
        <w:t>Roma</w:t>
      </w:r>
      <w:r>
        <w:rPr>
          <w:rFonts w:ascii="Verdana" w:hAnsi="Verdana"/>
          <w:sz w:val="16"/>
          <w:szCs w:val="16"/>
        </w:rPr>
        <w:t>), Annunziata Maria Tropeano (</w:t>
      </w:r>
      <w:r>
        <w:rPr>
          <w:rFonts w:ascii="Verdana" w:hAnsi="Verdana"/>
          <w:b/>
          <w:sz w:val="16"/>
          <w:szCs w:val="16"/>
        </w:rPr>
        <w:t>Vibo Valentia</w:t>
      </w:r>
      <w:r>
        <w:rPr>
          <w:rFonts w:ascii="Verdana" w:hAnsi="Verdana"/>
          <w:sz w:val="16"/>
          <w:szCs w:val="16"/>
        </w:rPr>
        <w:t>), Elisabetta Vitone (</w:t>
      </w:r>
      <w:r>
        <w:rPr>
          <w:rFonts w:ascii="Verdana" w:hAnsi="Verdana"/>
          <w:b/>
          <w:sz w:val="16"/>
          <w:szCs w:val="16"/>
        </w:rPr>
        <w:t>Campobasso</w:t>
      </w:r>
      <w:r>
        <w:rPr>
          <w:rFonts w:ascii="Verdana" w:hAnsi="Verdana"/>
          <w:sz w:val="16"/>
          <w:szCs w:val="16"/>
        </w:rPr>
        <w:t>), Nicolò Vittoria (</w:t>
      </w:r>
      <w:r>
        <w:rPr>
          <w:rFonts w:ascii="Verdana" w:hAnsi="Verdana"/>
          <w:b/>
          <w:sz w:val="16"/>
          <w:szCs w:val="16"/>
        </w:rPr>
        <w:t>Milano</w:t>
      </w:r>
      <w:r>
        <w:rPr>
          <w:rFonts w:ascii="Verdana" w:hAnsi="Verdana"/>
          <w:sz w:val="16"/>
          <w:szCs w:val="16"/>
        </w:rPr>
        <w:t>), Luisa Maria Vivacqua (</w:t>
      </w:r>
      <w:r>
        <w:rPr>
          <w:rFonts w:ascii="Verdana" w:hAnsi="Verdana"/>
          <w:b/>
          <w:sz w:val="16"/>
          <w:szCs w:val="16"/>
        </w:rPr>
        <w:t>Milano</w:t>
      </w:r>
      <w:r>
        <w:rPr>
          <w:rFonts w:ascii="Verdana" w:hAnsi="Verdana"/>
          <w:sz w:val="16"/>
          <w:szCs w:val="16"/>
        </w:rPr>
        <w:t>), Alessandro Volpe (</w:t>
      </w:r>
      <w:r>
        <w:rPr>
          <w:rFonts w:ascii="Verdana" w:hAnsi="Verdana"/>
          <w:b/>
          <w:sz w:val="16"/>
          <w:szCs w:val="16"/>
        </w:rPr>
        <w:t>Roma</w:t>
      </w:r>
      <w:r>
        <w:rPr>
          <w:rFonts w:ascii="Verdana" w:hAnsi="Verdana"/>
          <w:sz w:val="16"/>
          <w:szCs w:val="16"/>
        </w:rPr>
        <w:t>), Luca Volpe (</w:t>
      </w:r>
      <w:r>
        <w:rPr>
          <w:rFonts w:ascii="Verdana" w:hAnsi="Verdana"/>
          <w:b/>
          <w:sz w:val="16"/>
          <w:szCs w:val="16"/>
        </w:rPr>
        <w:t>Roma</w:t>
      </w:r>
      <w:r>
        <w:rPr>
          <w:rFonts w:ascii="Verdana" w:hAnsi="Verdana"/>
          <w:sz w:val="16"/>
          <w:szCs w:val="16"/>
        </w:rPr>
        <w:t>), Giulio Zanardi (</w:t>
      </w:r>
      <w:r>
        <w:rPr>
          <w:rFonts w:ascii="Verdana" w:hAnsi="Verdana"/>
          <w:b/>
          <w:sz w:val="16"/>
          <w:szCs w:val="16"/>
        </w:rPr>
        <w:t>Pavia</w:t>
      </w:r>
      <w:r>
        <w:rPr>
          <w:rFonts w:ascii="Verdana" w:hAnsi="Verdana"/>
          <w:sz w:val="16"/>
          <w:szCs w:val="16"/>
        </w:rPr>
        <w:t>).</w:t>
      </w:r>
    </w:p>
    <w:p>
      <w:pPr>
        <w:pBdr>
          <w:bottom w:val="single" w:color="auto" w:sz="6" w:space="1"/>
        </w:pBdr>
        <w:jc w:val="center"/>
        <w:rPr>
          <w:rFonts w:ascii="Verdana" w:hAnsi="Verdana"/>
          <w:sz w:val="16"/>
          <w:szCs w:val="16"/>
        </w:rPr>
      </w:pPr>
    </w:p>
    <w:p>
      <w:pPr>
        <w:jc w:val="center"/>
        <w:rPr>
          <w:rFonts w:ascii="Verdana" w:hAnsi="Verdana"/>
          <w:sz w:val="16"/>
          <w:szCs w:val="16"/>
        </w:rPr>
      </w:pPr>
    </w:p>
    <w:p>
      <w:pPr>
        <w:jc w:val="center"/>
        <w:rPr>
          <w:rFonts w:ascii="Verdana" w:hAnsi="Verdana"/>
          <w:sz w:val="16"/>
          <w:szCs w:val="16"/>
        </w:rPr>
      </w:pPr>
      <w:r>
        <w:rPr>
          <w:rFonts w:ascii="Verdana" w:hAnsi="Verdana"/>
          <w:b/>
          <w:sz w:val="16"/>
          <w:szCs w:val="16"/>
        </w:rPr>
        <w:t>SEGRETERIA del Comitato Scientifico</w:t>
      </w:r>
      <w:r>
        <w:rPr>
          <w:rFonts w:ascii="Verdana" w:hAnsi="Verdana"/>
          <w:sz w:val="16"/>
          <w:szCs w:val="16"/>
        </w:rPr>
        <w:t>: Valeria VASAPOLLO</w:t>
      </w:r>
    </w:p>
    <w:p>
      <w:pPr>
        <w:pBdr>
          <w:bottom w:val="single" w:color="auto" w:sz="6" w:space="1"/>
        </w:pBdr>
        <w:jc w:val="center"/>
        <w:rPr>
          <w:rFonts w:ascii="Verdana" w:hAnsi="Verdana"/>
          <w:sz w:val="16"/>
          <w:szCs w:val="16"/>
        </w:rPr>
      </w:pPr>
    </w:p>
    <w:p>
      <w:pPr>
        <w:jc w:val="center"/>
        <w:rPr>
          <w:rFonts w:ascii="Verdana" w:hAnsi="Verdana"/>
          <w:sz w:val="16"/>
          <w:szCs w:val="16"/>
        </w:rPr>
      </w:pPr>
    </w:p>
    <w:p>
      <w:pPr>
        <w:jc w:val="both"/>
        <w:rPr>
          <w:rFonts w:ascii="Verdana" w:hAnsi="Verdana"/>
          <w:sz w:val="16"/>
          <w:szCs w:val="16"/>
        </w:rPr>
      </w:pPr>
    </w:p>
    <w:p>
      <w:pPr>
        <w:rPr>
          <w:rFonts w:ascii="Verdana" w:hAnsi="Verdana"/>
          <w:sz w:val="22"/>
          <w:szCs w:val="22"/>
        </w:rPr>
      </w:pPr>
    </w:p>
    <w:sectPr>
      <w:headerReference r:id="rId6" w:type="first"/>
      <w:footerReference r:id="rId9" w:type="first"/>
      <w:headerReference r:id="rId4" w:type="default"/>
      <w:footerReference r:id="rId7" w:type="default"/>
      <w:headerReference r:id="rId5" w:type="even"/>
      <w:footerReference r:id="rId8" w:type="even"/>
      <w:pgSz w:w="11906" w:h="16838"/>
      <w:pgMar w:top="0" w:right="1134" w:bottom="1134" w:left="1134" w:header="720" w:footer="720" w:gutter="0"/>
      <w:cols w:space="720" w:num="1"/>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angal">
    <w:altName w:val="Segoe Print"/>
    <w:panose1 w:val="02040503050203030202"/>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 w:name="Garamond">
    <w:panose1 w:val="02020404030301010803"/>
    <w:charset w:val="00"/>
    <w:family w:val="roman"/>
    <w:pitch w:val="default"/>
    <w:sig w:usb0="00000287" w:usb1="00000000" w:usb2="00000000" w:usb3="00000000" w:csb0="0000009F" w:csb1="DFD70000"/>
  </w:font>
  <w:font w:name="Cambria Math">
    <w:panose1 w:val="02040503050406030204"/>
    <w:charset w:val="00"/>
    <w:family w:val="roman"/>
    <w:pitch w:val="default"/>
    <w:sig w:usb0="E00006FF" w:usb1="420024FF" w:usb2="02000000" w:usb3="00000000" w:csb0="200001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0">
    <w:p>
      <w:r>
        <w:separator/>
      </w:r>
    </w:p>
  </w:footnote>
  <w:footnote w:type="continuationSeparator" w:id="101">
    <w:p>
      <w:r>
        <w:continuationSeparator/>
      </w:r>
    </w:p>
  </w:footnote>
  <w:footnote w:id="0">
    <w:p>
      <w:pPr>
        <w:pStyle w:val="14"/>
        <w:snapToGrid w:val="0"/>
        <w:rPr>
          <w:rFonts w:hint="default" w:ascii="Verdana" w:hAnsi="Verdana" w:cs="Verdana"/>
          <w:sz w:val="13"/>
          <w:szCs w:val="13"/>
          <w:lang w:val="it-IT"/>
        </w:rPr>
      </w:pPr>
      <w:r>
        <w:rPr>
          <w:rStyle w:val="13"/>
          <w:rFonts w:hint="default" w:ascii="Verdana" w:hAnsi="Verdana" w:cs="Verdana"/>
          <w:sz w:val="13"/>
          <w:szCs w:val="13"/>
        </w:rPr>
        <w:footnoteRef/>
      </w:r>
      <w:r>
        <w:rPr>
          <w:rFonts w:hint="default" w:ascii="Verdana" w:hAnsi="Verdana" w:cs="Verdana"/>
          <w:sz w:val="13"/>
          <w:szCs w:val="13"/>
        </w:rPr>
        <w:t xml:space="preserve"> Contributo estratto, con integrazioni, dai saggi</w:t>
      </w:r>
      <w:r>
        <w:rPr>
          <w:rFonts w:hint="default" w:ascii="Verdana" w:hAnsi="Verdana" w:cs="Verdana"/>
          <w:sz w:val="13"/>
          <w:szCs w:val="13"/>
          <w:lang w:val="it-IT"/>
        </w:rPr>
        <w:t>:</w:t>
      </w:r>
    </w:p>
    <w:p>
      <w:pPr>
        <w:pStyle w:val="14"/>
        <w:snapToGrid w:val="0"/>
        <w:rPr>
          <w:rFonts w:hint="default" w:ascii="Verdana" w:hAnsi="Verdana" w:cs="Verdana"/>
          <w:sz w:val="13"/>
          <w:szCs w:val="13"/>
          <w:lang w:val="it-IT"/>
        </w:rPr>
      </w:pPr>
      <w:r>
        <w:rPr>
          <w:rFonts w:hint="default" w:ascii="Verdana" w:hAnsi="Verdana" w:cs="Verdana"/>
          <w:sz w:val="13"/>
          <w:szCs w:val="13"/>
          <w:lang w:val="it-IT"/>
        </w:rPr>
        <w:t>-</w:t>
      </w:r>
      <w:r>
        <w:rPr>
          <w:rFonts w:hint="default" w:ascii="Verdana" w:hAnsi="Verdana" w:cs="Verdana"/>
          <w:sz w:val="13"/>
          <w:szCs w:val="13"/>
        </w:rPr>
        <w:t xml:space="preserve"> VIOLA, </w:t>
      </w:r>
      <w:r>
        <w:rPr>
          <w:rFonts w:hint="default" w:ascii="Verdana" w:hAnsi="Verdana" w:cs="Verdana"/>
          <w:i/>
          <w:iCs/>
          <w:sz w:val="13"/>
          <w:szCs w:val="13"/>
        </w:rPr>
        <w:fldChar w:fldCharType="begin"/>
      </w:r>
      <w:r>
        <w:rPr>
          <w:rFonts w:hint="default" w:ascii="Verdana" w:hAnsi="Verdana" w:cs="Verdana"/>
          <w:i/>
          <w:iCs/>
          <w:sz w:val="13"/>
          <w:szCs w:val="13"/>
        </w:rPr>
        <w:instrText xml:space="preserve"> HYPERLINK "https://www.scuoladirittoavanzato.com/2018/07/13/viola-interpretazione-della-legge-con-modelli-matematici-dirittoavanzato-milano-2018/" </w:instrText>
      </w:r>
      <w:r>
        <w:rPr>
          <w:rFonts w:hint="default" w:ascii="Verdana" w:hAnsi="Verdana" w:cs="Verdana"/>
          <w:i/>
          <w:iCs/>
          <w:sz w:val="13"/>
          <w:szCs w:val="13"/>
        </w:rPr>
        <w:fldChar w:fldCharType="separate"/>
      </w:r>
      <w:r>
        <w:rPr>
          <w:rStyle w:val="16"/>
          <w:rFonts w:hint="default" w:ascii="Verdana" w:hAnsi="Verdana" w:cs="Verdana"/>
          <w:i/>
          <w:iCs/>
          <w:sz w:val="13"/>
          <w:szCs w:val="13"/>
        </w:rPr>
        <w:t>Interpretazion</w:t>
      </w:r>
      <w:r>
        <w:rPr>
          <w:rStyle w:val="16"/>
          <w:rFonts w:hint="default" w:ascii="Verdana" w:hAnsi="Verdana" w:cs="Verdana"/>
          <w:i/>
          <w:iCs/>
          <w:sz w:val="13"/>
          <w:szCs w:val="13"/>
          <w:lang w:val="it-IT"/>
        </w:rPr>
        <w:t>e della legge con modelli matematici,</w:t>
      </w:r>
      <w:r>
        <w:rPr>
          <w:rFonts w:hint="default" w:ascii="Verdana" w:hAnsi="Verdana" w:cs="Verdana"/>
          <w:i/>
          <w:iCs/>
          <w:sz w:val="13"/>
          <w:szCs w:val="13"/>
        </w:rPr>
        <w:fldChar w:fldCharType="end"/>
      </w:r>
      <w:r>
        <w:rPr>
          <w:rFonts w:hint="default" w:ascii="Verdana" w:hAnsi="Verdana" w:cs="Verdana"/>
          <w:sz w:val="13"/>
          <w:szCs w:val="13"/>
          <w:lang w:val="it-IT"/>
        </w:rPr>
        <w:t xml:space="preserve"> Milano, DirittoAvanzato, 2018;</w:t>
      </w:r>
    </w:p>
    <w:p>
      <w:pPr>
        <w:pStyle w:val="14"/>
        <w:snapToGrid w:val="0"/>
        <w:rPr>
          <w:rFonts w:hint="default" w:ascii="Verdana" w:hAnsi="Verdana" w:cs="Verdana"/>
          <w:sz w:val="13"/>
          <w:szCs w:val="13"/>
          <w:lang w:val="it-IT"/>
        </w:rPr>
      </w:pPr>
      <w:r>
        <w:rPr>
          <w:rFonts w:hint="default" w:ascii="Verdana" w:hAnsi="Verdana" w:cs="Verdana"/>
          <w:sz w:val="13"/>
          <w:szCs w:val="13"/>
          <w:lang w:val="it-IT"/>
        </w:rPr>
        <w:t xml:space="preserve">- VIOLA, </w:t>
      </w:r>
      <w:r>
        <w:rPr>
          <w:rFonts w:hint="default" w:ascii="Verdana" w:hAnsi="Verdana" w:cs="Verdana"/>
          <w:i/>
          <w:iCs/>
          <w:sz w:val="13"/>
          <w:szCs w:val="13"/>
          <w:lang w:val="it-IT"/>
        </w:rPr>
        <w:fldChar w:fldCharType="begin"/>
      </w:r>
      <w:r>
        <w:rPr>
          <w:rFonts w:hint="default" w:ascii="Verdana" w:hAnsi="Verdana" w:cs="Verdana"/>
          <w:i/>
          <w:iCs/>
          <w:sz w:val="13"/>
          <w:szCs w:val="13"/>
          <w:lang w:val="it-IT"/>
        </w:rPr>
        <w:instrText xml:space="preserve"> HYPERLINK "https://www.scuoladirittoavanzato.com/2021/07/13/viola-valutazione-delle-prove-secondo-prudente-apprezzamento-milano-dirittoavanzato-2021/" </w:instrText>
      </w:r>
      <w:r>
        <w:rPr>
          <w:rFonts w:hint="default" w:ascii="Verdana" w:hAnsi="Verdana" w:cs="Verdana"/>
          <w:i/>
          <w:iCs/>
          <w:sz w:val="13"/>
          <w:szCs w:val="13"/>
          <w:lang w:val="it-IT"/>
        </w:rPr>
        <w:fldChar w:fldCharType="separate"/>
      </w:r>
      <w:r>
        <w:rPr>
          <w:rStyle w:val="16"/>
          <w:rFonts w:hint="default" w:ascii="Verdana" w:hAnsi="Verdana" w:cs="Verdana"/>
          <w:i/>
          <w:iCs/>
          <w:sz w:val="13"/>
          <w:szCs w:val="13"/>
          <w:lang w:val="it-IT"/>
        </w:rPr>
        <w:t>Valutazione delle prove secondo prudente apprezzamento</w:t>
      </w:r>
      <w:r>
        <w:rPr>
          <w:rFonts w:hint="default" w:ascii="Verdana" w:hAnsi="Verdana" w:cs="Verdana"/>
          <w:i/>
          <w:iCs/>
          <w:sz w:val="13"/>
          <w:szCs w:val="13"/>
          <w:lang w:val="it-IT"/>
        </w:rPr>
        <w:fldChar w:fldCharType="end"/>
      </w:r>
      <w:r>
        <w:rPr>
          <w:rFonts w:hint="default" w:ascii="Verdana" w:hAnsi="Verdana" w:cs="Verdana"/>
          <w:sz w:val="13"/>
          <w:szCs w:val="13"/>
          <w:lang w:val="it-IT"/>
        </w:rPr>
        <w:t>, Milano, DirittoAvanzato, 2021.</w:t>
      </w:r>
    </w:p>
  </w:footnote>
  <w:footnote w:id="1">
    <w:p>
      <w:pPr>
        <w:pStyle w:val="14"/>
        <w:jc w:val="both"/>
        <w:rPr>
          <w:rFonts w:ascii="Verdana" w:hAnsi="Verdana" w:cs="Verdana"/>
          <w:sz w:val="15"/>
          <w:szCs w:val="15"/>
        </w:rPr>
      </w:pPr>
      <w:r>
        <w:rPr>
          <w:rStyle w:val="13"/>
          <w:rFonts w:ascii="Garamond" w:hAnsi="Garamond"/>
          <w:sz w:val="22"/>
          <w:szCs w:val="22"/>
        </w:rPr>
        <w:footnoteRef/>
      </w:r>
      <w:r>
        <w:rPr>
          <w:rFonts w:ascii="Garamond" w:hAnsi="Garamond"/>
          <w:sz w:val="22"/>
          <w:szCs w:val="22"/>
        </w:rPr>
        <w:t xml:space="preserve">  </w:t>
      </w:r>
      <w:r>
        <w:rPr>
          <w:rFonts w:ascii="Verdana" w:hAnsi="Verdana" w:cs="Verdana"/>
          <w:sz w:val="15"/>
          <w:szCs w:val="15"/>
        </w:rPr>
        <w:t>Oppure non contestato.</w:t>
      </w:r>
    </w:p>
  </w:footnote>
  <w:footnote w:id="2">
    <w:p>
      <w:pPr>
        <w:pStyle w:val="14"/>
        <w:jc w:val="both"/>
        <w:rPr>
          <w:rFonts w:ascii="Verdana" w:hAnsi="Verdana" w:cs="Verdana"/>
          <w:sz w:val="15"/>
          <w:szCs w:val="15"/>
        </w:rPr>
      </w:pPr>
      <w:r>
        <w:rPr>
          <w:rStyle w:val="13"/>
          <w:rFonts w:ascii="Verdana" w:hAnsi="Verdana" w:cs="Verdana"/>
          <w:sz w:val="15"/>
          <w:szCs w:val="15"/>
        </w:rPr>
        <w:footnoteRef/>
      </w:r>
      <w:r>
        <w:rPr>
          <w:rFonts w:ascii="Verdana" w:hAnsi="Verdana" w:cs="Verdana"/>
          <w:sz w:val="15"/>
          <w:szCs w:val="15"/>
        </w:rPr>
        <w:t xml:space="preserve"> Sul ruolo dell’interprete, si veda LONGOBUCCO, </w:t>
      </w:r>
      <w:r>
        <w:rPr>
          <w:rFonts w:ascii="Verdana" w:hAnsi="Verdana" w:cs="Verdana"/>
          <w:i/>
          <w:iCs/>
          <w:sz w:val="15"/>
          <w:szCs w:val="15"/>
        </w:rPr>
        <w:t>Il ruolo dell’interprete nel pensiero e nell’opera di Piero Schlesinger</w:t>
      </w:r>
      <w:r>
        <w:rPr>
          <w:rFonts w:ascii="Verdana" w:hAnsi="Verdana" w:cs="Verdana"/>
          <w:sz w:val="15"/>
          <w:szCs w:val="15"/>
        </w:rPr>
        <w:t xml:space="preserve">, in </w:t>
      </w:r>
      <w:r>
        <w:rPr>
          <w:rFonts w:ascii="Verdana" w:hAnsi="Verdana" w:cs="Verdana"/>
          <w:i/>
          <w:iCs/>
          <w:sz w:val="15"/>
          <w:szCs w:val="15"/>
        </w:rPr>
        <w:t>Corriere Giur.,</w:t>
      </w:r>
      <w:r>
        <w:rPr>
          <w:rFonts w:ascii="Verdana" w:hAnsi="Verdana" w:cs="Verdana"/>
          <w:sz w:val="15"/>
          <w:szCs w:val="15"/>
        </w:rPr>
        <w:t xml:space="preserve"> 2021, 4, 543.</w:t>
      </w:r>
    </w:p>
  </w:footnote>
  <w:footnote w:id="3">
    <w:p>
      <w:pPr>
        <w:pStyle w:val="14"/>
        <w:jc w:val="both"/>
        <w:rPr>
          <w:rFonts w:ascii="Verdana" w:hAnsi="Verdana" w:cs="Verdana"/>
          <w:sz w:val="15"/>
          <w:szCs w:val="15"/>
        </w:rPr>
      </w:pPr>
      <w:r>
        <w:rPr>
          <w:rStyle w:val="13"/>
          <w:rFonts w:ascii="Verdana" w:hAnsi="Verdana" w:cs="Verdana"/>
          <w:sz w:val="15"/>
          <w:szCs w:val="15"/>
        </w:rPr>
        <w:footnoteRef/>
      </w:r>
      <w:r>
        <w:rPr>
          <w:rFonts w:ascii="Verdana" w:hAnsi="Verdana" w:cs="Verdana"/>
          <w:sz w:val="15"/>
          <w:szCs w:val="15"/>
        </w:rPr>
        <w:t xml:space="preserve"> Sia consentito sul punto, un rinvio a VIOLA, </w:t>
      </w:r>
      <w:r>
        <w:fldChar w:fldCharType="begin"/>
      </w:r>
      <w:r>
        <w:instrText xml:space="preserve"> HYPERLINK "https://www.scuoladirittoavanzato.com/2018/07/13/viola-interpretazione-della-legge-con-modelli-matematici-dirittoavanzato-milano-2018/" </w:instrText>
      </w:r>
      <w:r>
        <w:fldChar w:fldCharType="separate"/>
      </w:r>
      <w:r>
        <w:rPr>
          <w:rStyle w:val="16"/>
          <w:rFonts w:ascii="Verdana" w:hAnsi="Verdana" w:cs="Verdana"/>
          <w:i/>
          <w:iCs/>
          <w:color w:val="auto"/>
          <w:sz w:val="15"/>
          <w:szCs w:val="15"/>
        </w:rPr>
        <w:t>Interpretazione della legge con modelli matematici</w:t>
      </w:r>
      <w:r>
        <w:rPr>
          <w:rStyle w:val="16"/>
          <w:rFonts w:ascii="Verdana" w:hAnsi="Verdana" w:cs="Verdana"/>
          <w:i/>
          <w:iCs/>
          <w:color w:val="auto"/>
          <w:sz w:val="15"/>
          <w:szCs w:val="15"/>
        </w:rPr>
        <w:fldChar w:fldCharType="end"/>
      </w:r>
      <w:r>
        <w:rPr>
          <w:rFonts w:ascii="Verdana" w:hAnsi="Verdana" w:cs="Verdana"/>
          <w:sz w:val="15"/>
          <w:szCs w:val="15"/>
        </w:rPr>
        <w:t xml:space="preserve">, Centro Studi DirittoAvanzato, Milano, 2018. Si veda anche VIOLA (a cura di), </w:t>
      </w:r>
      <w:r>
        <w:fldChar w:fldCharType="begin"/>
      </w:r>
      <w:r>
        <w:instrText xml:space="preserve"> HYPERLINK "http://www.dirittoavanzato.it/2019/12/giustizia-predittiva-e-interpretazione.html" </w:instrText>
      </w:r>
      <w:r>
        <w:fldChar w:fldCharType="separate"/>
      </w:r>
      <w:r>
        <w:rPr>
          <w:rStyle w:val="16"/>
          <w:rFonts w:ascii="Verdana" w:hAnsi="Verdana" w:cs="Verdana"/>
          <w:i/>
          <w:iCs/>
          <w:color w:val="auto"/>
          <w:sz w:val="15"/>
          <w:szCs w:val="15"/>
        </w:rPr>
        <w:t>Giustizia predittiva e interpretazione della legge con modelli matematici</w:t>
      </w:r>
      <w:r>
        <w:rPr>
          <w:rStyle w:val="16"/>
          <w:rFonts w:ascii="Verdana" w:hAnsi="Verdana" w:cs="Verdana"/>
          <w:i/>
          <w:iCs/>
          <w:color w:val="auto"/>
          <w:sz w:val="15"/>
          <w:szCs w:val="15"/>
        </w:rPr>
        <w:fldChar w:fldCharType="end"/>
      </w:r>
      <w:r>
        <w:rPr>
          <w:rFonts w:ascii="Verdana" w:hAnsi="Verdana" w:cs="Verdana"/>
          <w:sz w:val="15"/>
          <w:szCs w:val="15"/>
        </w:rPr>
        <w:t xml:space="preserve"> (Atti del Convegno tenutosi presso l’Istituto dell’enciclopedia Italiana Trecccani), Milano, 2019, con contributi di Stefano AMORE, Giuseppe BUFFONE, Tiziana CARADONIO, Veronica CASALNUOVO, Caterina CHIARAVALLOTI, Pietro CHIOFALO, Gianfranco D’AIETTI, Gaetano DANZI, Valerio de GIOIA,  Mirella DELIA, Michele FILIPPELLI, Jasna GERIC, Pierluigi GILLI, Andrea GIORDANO, Manuela RINALDI, Serafino RUSCICA, Piero SANDULLI, Matteo SANTINI, Stefano SCHIRÒ, Marco SCIALDONE, Giulio SPINA, Luisa Iolanda CALVAGNA.</w:t>
      </w:r>
    </w:p>
    <w:p>
      <w:pPr>
        <w:pStyle w:val="14"/>
        <w:jc w:val="both"/>
        <w:rPr>
          <w:rFonts w:ascii="Verdana" w:hAnsi="Verdana" w:cs="Verdana"/>
          <w:sz w:val="15"/>
          <w:szCs w:val="15"/>
        </w:rPr>
      </w:pPr>
      <w:r>
        <w:rPr>
          <w:rFonts w:ascii="Verdana" w:hAnsi="Verdana" w:cs="Verdana"/>
          <w:sz w:val="15"/>
          <w:szCs w:val="15"/>
        </w:rPr>
        <w:t xml:space="preserve">Per DANZI, </w:t>
      </w:r>
      <w:r>
        <w:fldChar w:fldCharType="begin"/>
      </w:r>
      <w:r>
        <w:instrText xml:space="preserve"> HYPERLINK "https://www.lanuovaproceduracivile.com/danzi-il-fattore-tempo-nella-giustizia-predittiva-e-nella-certezza-del-diritto/" </w:instrText>
      </w:r>
      <w:r>
        <w:fldChar w:fldCharType="separate"/>
      </w:r>
      <w:r>
        <w:rPr>
          <w:rStyle w:val="16"/>
          <w:rFonts w:ascii="Verdana" w:hAnsi="Verdana" w:cs="Verdana"/>
          <w:i/>
          <w:iCs/>
          <w:color w:val="auto"/>
          <w:sz w:val="15"/>
          <w:szCs w:val="15"/>
        </w:rPr>
        <w:t>Il fattore tempo nella giustizia predittiva e nella certezza del diritto</w:t>
      </w:r>
      <w:r>
        <w:rPr>
          <w:rStyle w:val="16"/>
          <w:rFonts w:ascii="Verdana" w:hAnsi="Verdana" w:cs="Verdana"/>
          <w:i/>
          <w:iCs/>
          <w:color w:val="auto"/>
          <w:sz w:val="15"/>
          <w:szCs w:val="15"/>
        </w:rPr>
        <w:fldChar w:fldCharType="end"/>
      </w:r>
      <w:r>
        <w:rPr>
          <w:rFonts w:ascii="Verdana" w:hAnsi="Verdana" w:cs="Verdana"/>
          <w:sz w:val="15"/>
          <w:szCs w:val="15"/>
        </w:rPr>
        <w:t xml:space="preserve">, in </w:t>
      </w:r>
      <w:r>
        <w:rPr>
          <w:rFonts w:ascii="Verdana" w:hAnsi="Verdana" w:cs="Verdana"/>
          <w:i/>
          <w:iCs/>
          <w:sz w:val="15"/>
          <w:szCs w:val="15"/>
        </w:rPr>
        <w:t>La Nuova Procedura Civile</w:t>
      </w:r>
      <w:r>
        <w:rPr>
          <w:rFonts w:ascii="Verdana" w:hAnsi="Verdana" w:cs="Verdana"/>
          <w:sz w:val="15"/>
          <w:szCs w:val="15"/>
        </w:rPr>
        <w:t>, 2, 2021,  l’art. 11 delle preleggi</w:t>
      </w:r>
      <w:r>
        <w:rPr>
          <w:rFonts w:ascii="Verdana" w:hAnsi="Verdana" w:cs="Verdana"/>
          <w:i/>
          <w:iCs/>
          <w:sz w:val="15"/>
          <w:szCs w:val="15"/>
        </w:rPr>
        <w:t xml:space="preserve"> “esordisce affermando un principio fondamentale del diritto e della civiltà giuridica: “la legge non dispone che per l’avvenire”. Ma l’avvenire non è altro che il futuro, ragion per cui il citato art. 11 può essere letto nel senso che : “la legge dispone per il futuro”. L’art. 11 delle preleggi , quindi, contiene un vero e proprio “principio di futuribilità della legge”. La legge è predittiva per sua stessa natura perché tende a normare i comportamenti umani futuri e di conseguenza costruisce delle “strade temporali” sulle quali dovranno necessariamente scorrere gli eventi futuri. E’ pur vero che vi sono delle eccezioni all’art. 11 delle preleggi, ma queste s mai confermano la regola</w:t>
      </w:r>
      <w:r>
        <w:rPr>
          <w:rFonts w:ascii="Verdana" w:hAnsi="Verdana" w:cs="Verdana"/>
          <w:sz w:val="15"/>
          <w:szCs w:val="15"/>
        </w:rPr>
        <w:t>”.</w:t>
      </w:r>
    </w:p>
    <w:p>
      <w:pPr>
        <w:pStyle w:val="14"/>
        <w:jc w:val="both"/>
        <w:rPr>
          <w:rFonts w:ascii="Verdana" w:hAnsi="Verdana" w:cs="Verdana"/>
          <w:sz w:val="15"/>
          <w:szCs w:val="15"/>
        </w:rPr>
      </w:pPr>
      <w:r>
        <w:rPr>
          <w:rFonts w:ascii="Verdana" w:hAnsi="Verdana" w:cs="Verdana"/>
          <w:sz w:val="15"/>
          <w:szCs w:val="15"/>
        </w:rPr>
        <w:t xml:space="preserve">Spesso la legge è difficile da interpretare anche per come scritta; sul problema della linguaggio delle leggi, si veda recentemente COSTANTINO, </w:t>
      </w:r>
      <w:r>
        <w:rPr>
          <w:rFonts w:ascii="Verdana" w:hAnsi="Verdana" w:cs="Verdana"/>
          <w:i/>
          <w:iCs/>
          <w:sz w:val="15"/>
          <w:szCs w:val="15"/>
        </w:rPr>
        <w:t>La sciatteria nello scrivere le leggi crea effetti devastanti nell’ordinamento</w:t>
      </w:r>
      <w:r>
        <w:rPr>
          <w:rFonts w:ascii="Verdana" w:hAnsi="Verdana" w:cs="Verdana"/>
          <w:sz w:val="15"/>
          <w:szCs w:val="15"/>
        </w:rPr>
        <w:t xml:space="preserve">, in </w:t>
      </w:r>
      <w:r>
        <w:fldChar w:fldCharType="begin"/>
      </w:r>
      <w:r>
        <w:instrText xml:space="preserve"> HYPERLINK "https://www.editorialedomani.it/giustizia/la-sciatteria-nello-scrivere-le-leggi-crea-effetti-devastanti-nellordinamento-ct97t587" </w:instrText>
      </w:r>
      <w:r>
        <w:fldChar w:fldCharType="separate"/>
      </w:r>
      <w:r>
        <w:rPr>
          <w:rStyle w:val="16"/>
          <w:rFonts w:ascii="Verdana" w:hAnsi="Verdana" w:cs="Verdana"/>
          <w:i/>
          <w:iCs/>
          <w:color w:val="auto"/>
          <w:sz w:val="15"/>
          <w:szCs w:val="15"/>
        </w:rPr>
        <w:t>EditorialeDomani.it</w:t>
      </w:r>
      <w:r>
        <w:rPr>
          <w:rStyle w:val="16"/>
          <w:rFonts w:ascii="Verdana" w:hAnsi="Verdana" w:cs="Verdana"/>
          <w:i/>
          <w:iCs/>
          <w:color w:val="auto"/>
          <w:sz w:val="15"/>
          <w:szCs w:val="15"/>
        </w:rPr>
        <w:fldChar w:fldCharType="end"/>
      </w:r>
      <w:r>
        <w:rPr>
          <w:rFonts w:ascii="Verdana" w:hAnsi="Verdana" w:cs="Verdana"/>
          <w:sz w:val="15"/>
          <w:szCs w:val="15"/>
        </w:rPr>
        <w:t>, 4.1.2021.</w:t>
      </w:r>
    </w:p>
  </w:footnote>
  <w:footnote w:id="4">
    <w:p>
      <w:pPr>
        <w:pStyle w:val="14"/>
        <w:jc w:val="both"/>
        <w:rPr>
          <w:rFonts w:ascii="Verdana" w:hAnsi="Verdana" w:cs="Verdana"/>
          <w:sz w:val="15"/>
          <w:szCs w:val="15"/>
        </w:rPr>
      </w:pPr>
      <w:r>
        <w:rPr>
          <w:rStyle w:val="13"/>
          <w:rFonts w:ascii="Verdana" w:hAnsi="Verdana" w:cs="Verdana"/>
          <w:sz w:val="15"/>
          <w:szCs w:val="15"/>
        </w:rPr>
        <w:footnoteRef/>
      </w:r>
      <w:r>
        <w:rPr>
          <w:rFonts w:ascii="Verdana" w:hAnsi="Verdana" w:cs="Verdana"/>
          <w:sz w:val="15"/>
          <w:szCs w:val="15"/>
        </w:rPr>
        <w:t xml:space="preserve"> RUSCELLO, </w:t>
      </w:r>
      <w:r>
        <w:rPr>
          <w:rFonts w:ascii="Verdana" w:hAnsi="Verdana" w:cs="Verdana"/>
          <w:i/>
          <w:iCs/>
          <w:sz w:val="15"/>
          <w:szCs w:val="15"/>
        </w:rPr>
        <w:t>Istituzioni di diritto privato</w:t>
      </w:r>
      <w:r>
        <w:rPr>
          <w:rFonts w:ascii="Verdana" w:hAnsi="Verdana" w:cs="Verdana"/>
          <w:sz w:val="15"/>
          <w:szCs w:val="15"/>
        </w:rPr>
        <w:t>, Milano, 2011, 44.</w:t>
      </w:r>
    </w:p>
  </w:footnote>
  <w:footnote w:id="5">
    <w:p>
      <w:pPr>
        <w:pStyle w:val="14"/>
        <w:jc w:val="both"/>
        <w:rPr>
          <w:rFonts w:ascii="Verdana" w:hAnsi="Verdana" w:cs="Verdana"/>
          <w:sz w:val="15"/>
          <w:szCs w:val="15"/>
        </w:rPr>
      </w:pPr>
      <w:r>
        <w:rPr>
          <w:rStyle w:val="13"/>
          <w:rFonts w:ascii="Verdana" w:hAnsi="Verdana" w:cs="Verdana"/>
          <w:sz w:val="15"/>
          <w:szCs w:val="15"/>
        </w:rPr>
        <w:footnoteRef/>
      </w:r>
      <w:r>
        <w:rPr>
          <w:rFonts w:ascii="Verdana" w:hAnsi="Verdana" w:cs="Verdana"/>
          <w:sz w:val="15"/>
          <w:szCs w:val="15"/>
        </w:rPr>
        <w:t xml:space="preserve"> La formula è spiegata per esteso in VIOLA, </w:t>
      </w:r>
      <w:r>
        <w:fldChar w:fldCharType="begin"/>
      </w:r>
      <w:r>
        <w:instrText xml:space="preserve"> HYPERLINK "https://www.scuoladirittoavanzato.com/2021/07/13/viola-valutazione-delle-prove-secondo-prudente-apprezzamento-milano-dirittoavanzato-2021/" </w:instrText>
      </w:r>
      <w:r>
        <w:fldChar w:fldCharType="separate"/>
      </w:r>
      <w:r>
        <w:rPr>
          <w:rStyle w:val="16"/>
          <w:rFonts w:ascii="Verdana" w:hAnsi="Verdana" w:cs="Verdana"/>
          <w:i/>
          <w:iCs/>
          <w:sz w:val="15"/>
          <w:szCs w:val="15"/>
        </w:rPr>
        <w:t>Valutazione delle prove secondo prudente apprezzamento</w:t>
      </w:r>
      <w:r>
        <w:rPr>
          <w:rStyle w:val="16"/>
          <w:rFonts w:ascii="Verdana" w:hAnsi="Verdana" w:cs="Verdana"/>
          <w:i/>
          <w:iCs/>
          <w:sz w:val="15"/>
          <w:szCs w:val="15"/>
        </w:rPr>
        <w:fldChar w:fldCharType="end"/>
      </w:r>
      <w:r>
        <w:rPr>
          <w:rFonts w:ascii="Verdana" w:hAnsi="Verdana" w:cs="Verdana"/>
          <w:sz w:val="15"/>
          <w:szCs w:val="15"/>
        </w:rPr>
        <w:t xml:space="preserve">, Centro Studi DirittoAvanzato, Milanio, 2021. Non si basa sull’utilizzo di Intelligenza Artificiale, ma su un approccio giurimetrico (si veda la </w:t>
      </w:r>
      <w:r>
        <w:fldChar w:fldCharType="begin"/>
      </w:r>
      <w:r>
        <w:instrText xml:space="preserve"> HYPERLINK "https://www.treccani.it/enciclopedia/giurimetria_%28Diritto-on-line%29/" </w:instrText>
      </w:r>
      <w:r>
        <w:fldChar w:fldCharType="separate"/>
      </w:r>
      <w:r>
        <w:rPr>
          <w:rStyle w:val="16"/>
          <w:rFonts w:ascii="Verdana" w:hAnsi="Verdana" w:cs="Verdana"/>
          <w:color w:val="auto"/>
          <w:sz w:val="15"/>
          <w:szCs w:val="15"/>
        </w:rPr>
        <w:t>Voce Giurimetria</w:t>
      </w:r>
      <w:r>
        <w:rPr>
          <w:rStyle w:val="16"/>
          <w:rFonts w:ascii="Verdana" w:hAnsi="Verdana" w:cs="Verdana"/>
          <w:color w:val="auto"/>
          <w:sz w:val="15"/>
          <w:szCs w:val="15"/>
        </w:rPr>
        <w:fldChar w:fldCharType="end"/>
      </w:r>
      <w:r>
        <w:rPr>
          <w:rFonts w:ascii="Verdana" w:hAnsi="Verdana" w:cs="Verdana"/>
          <w:sz w:val="15"/>
          <w:szCs w:val="15"/>
        </w:rPr>
        <w:t xml:space="preserve">, in </w:t>
      </w:r>
      <w:r>
        <w:rPr>
          <w:rFonts w:ascii="Verdana" w:hAnsi="Verdana" w:cs="Verdana"/>
          <w:i/>
          <w:iCs/>
          <w:sz w:val="15"/>
          <w:szCs w:val="15"/>
        </w:rPr>
        <w:t>Enciclopedia del Diritto</w:t>
      </w:r>
      <w:r>
        <w:rPr>
          <w:rFonts w:ascii="Verdana" w:hAnsi="Verdana" w:cs="Verdana"/>
          <w:sz w:val="15"/>
          <w:szCs w:val="15"/>
        </w:rPr>
        <w:t xml:space="preserve">, Treccani, 2018); l’Intelligenza Artificiale è per SPERA, Voce </w:t>
      </w:r>
      <w:r>
        <w:rPr>
          <w:rFonts w:ascii="Verdana" w:hAnsi="Verdana" w:cs="Verdana"/>
          <w:i/>
          <w:iCs/>
          <w:sz w:val="15"/>
          <w:szCs w:val="15"/>
        </w:rPr>
        <w:t>Intelligenza Artificiale</w:t>
      </w:r>
      <w:r>
        <w:rPr>
          <w:rFonts w:ascii="Verdana" w:hAnsi="Verdana" w:cs="Verdana"/>
          <w:sz w:val="15"/>
          <w:szCs w:val="15"/>
        </w:rPr>
        <w:t xml:space="preserve">, in ZICCARDI-PERRI, </w:t>
      </w:r>
      <w:r>
        <w:rPr>
          <w:rFonts w:ascii="Verdana" w:hAnsi="Verdana" w:cs="Verdana"/>
          <w:i/>
          <w:iCs/>
          <w:sz w:val="15"/>
          <w:szCs w:val="15"/>
        </w:rPr>
        <w:t>Dizionario Legal tech</w:t>
      </w:r>
      <w:r>
        <w:rPr>
          <w:rFonts w:ascii="Verdana" w:hAnsi="Verdana" w:cs="Verdana"/>
          <w:sz w:val="15"/>
          <w:szCs w:val="15"/>
        </w:rPr>
        <w:t>, Milano 2020, 535, una “</w:t>
      </w:r>
      <w:r>
        <w:rPr>
          <w:rFonts w:ascii="Verdana" w:hAnsi="Verdana" w:cs="Verdana"/>
          <w:i/>
          <w:iCs/>
          <w:sz w:val="15"/>
          <w:szCs w:val="15"/>
        </w:rPr>
        <w:t>branca dell’informatica che rappresenta un insieme di metodi, teorie e tecniche scientifiche il cui scopo è quello di riprodurre, tramite una macchina, le capacità cognitive degli esseri umani”.</w:t>
      </w:r>
      <w:r>
        <w:rPr>
          <w:rFonts w:ascii="Verdana" w:hAnsi="Verdana" w:cs="Verdana"/>
          <w:sz w:val="15"/>
          <w:szCs w:val="15"/>
        </w:rPr>
        <w:t xml:space="preserve"> Sono fondamentali le considerazioni di Lucilla GATT, </w:t>
      </w:r>
      <w:r>
        <w:fldChar w:fldCharType="begin"/>
      </w:r>
      <w:r>
        <w:instrText xml:space="preserve"> HYPERLINK "https://www.dimt.it/news/intelligenza-artificiale-antropocentrica/" </w:instrText>
      </w:r>
      <w:r>
        <w:fldChar w:fldCharType="separate"/>
      </w:r>
      <w:r>
        <w:rPr>
          <w:rStyle w:val="16"/>
          <w:rFonts w:ascii="Verdana" w:hAnsi="Verdana" w:cs="Verdana"/>
          <w:i/>
          <w:iCs/>
          <w:color w:val="auto"/>
          <w:sz w:val="15"/>
          <w:szCs w:val="15"/>
        </w:rPr>
        <w:t>Per un’Intelligenza Artificiale antropocentrica</w:t>
      </w:r>
      <w:r>
        <w:rPr>
          <w:rStyle w:val="16"/>
          <w:rFonts w:ascii="Verdana" w:hAnsi="Verdana" w:cs="Verdana"/>
          <w:i/>
          <w:iCs/>
          <w:color w:val="auto"/>
          <w:sz w:val="15"/>
          <w:szCs w:val="15"/>
        </w:rPr>
        <w:fldChar w:fldCharType="end"/>
      </w:r>
      <w:r>
        <w:rPr>
          <w:rFonts w:ascii="Verdana" w:hAnsi="Verdana" w:cs="Verdana"/>
          <w:sz w:val="15"/>
          <w:szCs w:val="15"/>
        </w:rPr>
        <w:t xml:space="preserve">, intervista rilasciata a </w:t>
      </w:r>
      <w:r>
        <w:rPr>
          <w:rFonts w:ascii="Verdana" w:hAnsi="Verdana" w:cs="Verdana"/>
          <w:i/>
          <w:iCs/>
          <w:sz w:val="15"/>
          <w:szCs w:val="15"/>
        </w:rPr>
        <w:t>Diritto Mercato Tecnologia</w:t>
      </w:r>
      <w:r>
        <w:rPr>
          <w:rFonts w:ascii="Verdana" w:hAnsi="Verdana" w:cs="Verdana"/>
          <w:sz w:val="15"/>
          <w:szCs w:val="15"/>
        </w:rPr>
        <w:t xml:space="preserve">, 21.2.2020. Per approfondimenti sull’Intelligenza artificiale, si vedano RUFFOLO (a cura di), </w:t>
      </w:r>
      <w:r>
        <w:rPr>
          <w:rFonts w:ascii="Verdana" w:hAnsi="Verdana" w:cs="Verdana"/>
          <w:i/>
          <w:iCs/>
          <w:sz w:val="15"/>
          <w:szCs w:val="15"/>
        </w:rPr>
        <w:t>Intelligenza artificiale,</w:t>
      </w:r>
      <w:r>
        <w:rPr>
          <w:rFonts w:ascii="Verdana" w:hAnsi="Verdana" w:cs="Verdana"/>
          <w:sz w:val="15"/>
          <w:szCs w:val="15"/>
        </w:rPr>
        <w:t xml:space="preserve"> Milano 2020; FIAMMELLA, </w:t>
      </w:r>
      <w:r>
        <w:fldChar w:fldCharType="begin"/>
      </w:r>
      <w:r>
        <w:instrText xml:space="preserve"> HYPERLINK "https://www.altalex.com/documents/news/2019/09/03/intelligenza-artificiale-bandi-gara-rischi-prospettive" </w:instrText>
      </w:r>
      <w:r>
        <w:fldChar w:fldCharType="separate"/>
      </w:r>
      <w:r>
        <w:rPr>
          <w:rStyle w:val="16"/>
          <w:rFonts w:ascii="Verdana" w:hAnsi="Verdana" w:cs="Verdana"/>
          <w:i/>
          <w:iCs/>
          <w:color w:val="auto"/>
          <w:sz w:val="15"/>
          <w:szCs w:val="15"/>
        </w:rPr>
        <w:t>Intelligenza artificiale per i bandi di gara: rischi e prospettive</w:t>
      </w:r>
      <w:r>
        <w:rPr>
          <w:rStyle w:val="16"/>
          <w:rFonts w:ascii="Verdana" w:hAnsi="Verdana" w:cs="Verdana"/>
          <w:i/>
          <w:iCs/>
          <w:color w:val="auto"/>
          <w:sz w:val="15"/>
          <w:szCs w:val="15"/>
        </w:rPr>
        <w:fldChar w:fldCharType="end"/>
      </w:r>
      <w:r>
        <w:rPr>
          <w:rFonts w:ascii="Verdana" w:hAnsi="Verdana" w:cs="Verdana"/>
          <w:i/>
          <w:iCs/>
          <w:sz w:val="15"/>
          <w:szCs w:val="15"/>
        </w:rPr>
        <w:t>,</w:t>
      </w:r>
      <w:r>
        <w:rPr>
          <w:rFonts w:ascii="Verdana" w:hAnsi="Verdana" w:cs="Verdana"/>
          <w:sz w:val="15"/>
          <w:szCs w:val="15"/>
        </w:rPr>
        <w:t xml:space="preserve"> in Altalex.com, 2019; IASELLI, </w:t>
      </w:r>
      <w:r>
        <w:fldChar w:fldCharType="begin"/>
      </w:r>
      <w:r>
        <w:instrText xml:space="preserve"> HYPERLINK "https://www.altalex.com/documents/news/2021/02/10/intelligenza-artificiale-programmi-ue-rischi-e-benefici" </w:instrText>
      </w:r>
      <w:r>
        <w:fldChar w:fldCharType="separate"/>
      </w:r>
      <w:r>
        <w:rPr>
          <w:rStyle w:val="16"/>
          <w:rFonts w:ascii="Verdana" w:hAnsi="Verdana" w:cs="Verdana"/>
          <w:i/>
          <w:iCs/>
          <w:color w:val="auto"/>
          <w:sz w:val="15"/>
          <w:szCs w:val="15"/>
        </w:rPr>
        <w:t>L’Intelligenza Artificiale nei programmi UE: rischi e benefici</w:t>
      </w:r>
      <w:r>
        <w:rPr>
          <w:rStyle w:val="16"/>
          <w:rFonts w:ascii="Verdana" w:hAnsi="Verdana" w:cs="Verdana"/>
          <w:i/>
          <w:iCs/>
          <w:color w:val="auto"/>
          <w:sz w:val="15"/>
          <w:szCs w:val="15"/>
        </w:rPr>
        <w:fldChar w:fldCharType="end"/>
      </w:r>
      <w:r>
        <w:rPr>
          <w:rFonts w:ascii="Verdana" w:hAnsi="Verdana" w:cs="Verdana"/>
          <w:i/>
          <w:iCs/>
          <w:sz w:val="15"/>
          <w:szCs w:val="15"/>
        </w:rPr>
        <w:t>,</w:t>
      </w:r>
      <w:r>
        <w:rPr>
          <w:rFonts w:ascii="Verdana" w:hAnsi="Verdana" w:cs="Verdana"/>
          <w:sz w:val="15"/>
          <w:szCs w:val="15"/>
        </w:rPr>
        <w:t xml:space="preserve"> in Altalex.com, 2021; CORASANITI, </w:t>
      </w:r>
      <w:r>
        <w:rPr>
          <w:rFonts w:ascii="Verdana" w:hAnsi="Verdana" w:cs="Verdana"/>
          <w:i/>
          <w:iCs/>
          <w:sz w:val="15"/>
          <w:szCs w:val="15"/>
        </w:rPr>
        <w:t>Il diritto nella società digitale</w:t>
      </w:r>
      <w:r>
        <w:rPr>
          <w:rFonts w:ascii="Verdana" w:hAnsi="Verdana" w:cs="Verdana"/>
          <w:sz w:val="15"/>
          <w:szCs w:val="15"/>
        </w:rPr>
        <w:t xml:space="preserve">, Milano, 2018, 159; LONGO-SCORZA, </w:t>
      </w:r>
      <w:r>
        <w:rPr>
          <w:rFonts w:ascii="Verdana" w:hAnsi="Verdana" w:cs="Verdana"/>
          <w:i/>
          <w:iCs/>
          <w:sz w:val="15"/>
          <w:szCs w:val="15"/>
        </w:rPr>
        <w:t>Intelligenza artificiale</w:t>
      </w:r>
      <w:r>
        <w:rPr>
          <w:rFonts w:ascii="Verdana" w:hAnsi="Verdana" w:cs="Verdana"/>
          <w:sz w:val="15"/>
          <w:szCs w:val="15"/>
        </w:rPr>
        <w:t xml:space="preserve">, Milano, 2020; SANTOSUOSSO, </w:t>
      </w:r>
      <w:r>
        <w:rPr>
          <w:rFonts w:ascii="Verdana" w:hAnsi="Verdana" w:cs="Verdana"/>
          <w:i/>
          <w:iCs/>
          <w:sz w:val="15"/>
          <w:szCs w:val="15"/>
        </w:rPr>
        <w:t>Intelligenza artificiale e diritto</w:t>
      </w:r>
      <w:r>
        <w:rPr>
          <w:rFonts w:ascii="Verdana" w:hAnsi="Verdana" w:cs="Verdana"/>
          <w:sz w:val="15"/>
          <w:szCs w:val="15"/>
        </w:rPr>
        <w:t xml:space="preserve">, Milano, 2020; QUARTA, </w:t>
      </w:r>
      <w:r>
        <w:fldChar w:fldCharType="begin"/>
      </w:r>
      <w:r>
        <w:instrText xml:space="preserve"> HYPERLINK "https://www.lanuovaproceduracivile.com/quarta-soggettivita-dei-robots-e-responsabilita/" </w:instrText>
      </w:r>
      <w:r>
        <w:fldChar w:fldCharType="separate"/>
      </w:r>
      <w:r>
        <w:rPr>
          <w:rStyle w:val="16"/>
          <w:rFonts w:ascii="Verdana" w:hAnsi="Verdana" w:cs="Verdana"/>
          <w:i/>
          <w:iCs/>
          <w:color w:val="auto"/>
          <w:sz w:val="15"/>
          <w:szCs w:val="15"/>
        </w:rPr>
        <w:t>Soggettività dei Robots e responsabilità</w:t>
      </w:r>
      <w:r>
        <w:rPr>
          <w:rStyle w:val="16"/>
          <w:rFonts w:ascii="Verdana" w:hAnsi="Verdana" w:cs="Verdana"/>
          <w:i/>
          <w:iCs/>
          <w:color w:val="auto"/>
          <w:sz w:val="15"/>
          <w:szCs w:val="15"/>
        </w:rPr>
        <w:fldChar w:fldCharType="end"/>
      </w:r>
      <w:r>
        <w:rPr>
          <w:rFonts w:ascii="Verdana" w:hAnsi="Verdana" w:cs="Verdana"/>
          <w:sz w:val="15"/>
          <w:szCs w:val="15"/>
        </w:rPr>
        <w:t xml:space="preserve">, in </w:t>
      </w:r>
      <w:r>
        <w:rPr>
          <w:rFonts w:ascii="Verdana" w:hAnsi="Verdana" w:cs="Verdana"/>
          <w:i/>
          <w:iCs/>
          <w:sz w:val="15"/>
          <w:szCs w:val="15"/>
        </w:rPr>
        <w:t>La Nuova Procedura Civile</w:t>
      </w:r>
      <w:r>
        <w:rPr>
          <w:rFonts w:ascii="Verdana" w:hAnsi="Verdana" w:cs="Verdana"/>
          <w:sz w:val="15"/>
          <w:szCs w:val="15"/>
        </w:rPr>
        <w:t xml:space="preserve">, 5, 2018. URICCHIO-RICCIO-RUFFOLO (a cura di), </w:t>
      </w:r>
      <w:r>
        <w:rPr>
          <w:rFonts w:ascii="Verdana" w:hAnsi="Verdana"/>
          <w:i/>
          <w:iCs/>
          <w:sz w:val="15"/>
          <w:szCs w:val="15"/>
        </w:rPr>
        <w:t>Intelligenza Artificiale tra etica e diritti. Prime riflessioni a seguito del libro bianco dell'Unione europea</w:t>
      </w:r>
      <w:r>
        <w:rPr>
          <w:rFonts w:ascii="Verdana" w:hAnsi="Verdana"/>
          <w:sz w:val="15"/>
          <w:szCs w:val="15"/>
        </w:rPr>
        <w:t>, Bari, 2020.</w:t>
      </w:r>
      <w:r>
        <w:rPr>
          <w:rFonts w:ascii="Verdana" w:hAnsi="Verdana" w:cs="Verdana"/>
          <w:sz w:val="15"/>
          <w:szCs w:val="15"/>
        </w:rPr>
        <w:t xml:space="preserve">  Interessanti le osservazioni di GARAPON-LASSEGUE, </w:t>
      </w:r>
      <w:r>
        <w:rPr>
          <w:rFonts w:ascii="Verdana" w:hAnsi="Verdana" w:cs="Verdana"/>
          <w:i/>
          <w:iCs/>
          <w:sz w:val="15"/>
          <w:szCs w:val="15"/>
        </w:rPr>
        <w:t>La giustizia digitale</w:t>
      </w:r>
      <w:r>
        <w:rPr>
          <w:rFonts w:ascii="Verdana" w:hAnsi="Verdana" w:cs="Verdana"/>
          <w:sz w:val="15"/>
          <w:szCs w:val="15"/>
        </w:rPr>
        <w:t xml:space="preserve">, Bologna, 2021, nonché MORELLI, </w:t>
      </w:r>
      <w:r>
        <w:fldChar w:fldCharType="begin"/>
      </w:r>
      <w:r>
        <w:instrText xml:space="preserve"> HYPERLINK "https://www.altalex.com/documents/news/2021/03/29/quanto-difficile-insegnare-diritto-alla-intelligenza-artificiale" </w:instrText>
      </w:r>
      <w:r>
        <w:fldChar w:fldCharType="separate"/>
      </w:r>
      <w:r>
        <w:rPr>
          <w:rStyle w:val="16"/>
          <w:rFonts w:ascii="Verdana" w:hAnsi="Verdana" w:cs="Verdana"/>
          <w:i/>
          <w:iCs/>
          <w:color w:val="auto"/>
          <w:sz w:val="15"/>
          <w:szCs w:val="15"/>
        </w:rPr>
        <w:t>Quanto è difficile insegnare il diritto all'Intelligenza Artificiale</w:t>
      </w:r>
      <w:r>
        <w:rPr>
          <w:rStyle w:val="16"/>
          <w:rFonts w:ascii="Verdana" w:hAnsi="Verdana" w:cs="Verdana"/>
          <w:i/>
          <w:iCs/>
          <w:color w:val="auto"/>
          <w:sz w:val="15"/>
          <w:szCs w:val="15"/>
        </w:rPr>
        <w:fldChar w:fldCharType="end"/>
      </w:r>
      <w:r>
        <w:rPr>
          <w:rFonts w:ascii="Verdana" w:hAnsi="Verdana" w:cs="Verdana"/>
          <w:i/>
          <w:iCs/>
          <w:sz w:val="15"/>
          <w:szCs w:val="15"/>
        </w:rPr>
        <w:t xml:space="preserve">, </w:t>
      </w:r>
      <w:r>
        <w:rPr>
          <w:rFonts w:ascii="Verdana" w:hAnsi="Verdana" w:cs="Verdana"/>
          <w:sz w:val="15"/>
          <w:szCs w:val="15"/>
        </w:rPr>
        <w:t xml:space="preserve">in Altalex.com, 2021; CANZIO, </w:t>
      </w:r>
      <w:r>
        <w:rPr>
          <w:rFonts w:ascii="Verdana" w:hAnsi="Verdana"/>
          <w:i/>
          <w:iCs/>
          <w:sz w:val="15"/>
          <w:szCs w:val="15"/>
        </w:rPr>
        <w:t>I</w:t>
      </w:r>
      <w:r>
        <w:fldChar w:fldCharType="begin"/>
      </w:r>
      <w:r>
        <w:instrText xml:space="preserve"> HYPERLINK "https://www.sistemapenale.it/it/articolo/canzio-intelligenza-artificiale-algoritmi-giustizia-penale" </w:instrText>
      </w:r>
      <w:r>
        <w:fldChar w:fldCharType="separate"/>
      </w:r>
      <w:r>
        <w:rPr>
          <w:rStyle w:val="16"/>
          <w:rFonts w:ascii="Verdana" w:hAnsi="Verdana"/>
          <w:i/>
          <w:iCs/>
          <w:sz w:val="15"/>
          <w:szCs w:val="15"/>
        </w:rPr>
        <w:t>ntelligenza artificiale, algoritmi e giustizia penale</w:t>
      </w:r>
      <w:r>
        <w:rPr>
          <w:rStyle w:val="16"/>
          <w:rFonts w:ascii="Verdana" w:hAnsi="Verdana"/>
          <w:i/>
          <w:iCs/>
          <w:sz w:val="15"/>
          <w:szCs w:val="15"/>
        </w:rPr>
        <w:fldChar w:fldCharType="end"/>
      </w:r>
      <w:r>
        <w:rPr>
          <w:rFonts w:ascii="Verdana" w:hAnsi="Verdana"/>
          <w:sz w:val="15"/>
          <w:szCs w:val="15"/>
        </w:rPr>
        <w:t xml:space="preserve">, in </w:t>
      </w:r>
      <w:r>
        <w:rPr>
          <w:rFonts w:ascii="Verdana" w:hAnsi="Verdana"/>
          <w:i/>
          <w:iCs/>
          <w:sz w:val="15"/>
          <w:szCs w:val="15"/>
        </w:rPr>
        <w:t>Sistemapenale.it</w:t>
      </w:r>
      <w:r>
        <w:rPr>
          <w:rFonts w:ascii="Verdana" w:hAnsi="Verdana"/>
          <w:sz w:val="15"/>
          <w:szCs w:val="15"/>
        </w:rPr>
        <w:t>, 2020</w:t>
      </w:r>
      <w:r>
        <w:rPr>
          <w:rFonts w:hint="default" w:ascii="Verdana" w:hAnsi="Verdana"/>
          <w:sz w:val="15"/>
          <w:szCs w:val="15"/>
          <w:lang w:val="it-IT"/>
        </w:rPr>
        <w:t>; CARLEO (a cura di),</w:t>
      </w:r>
      <w:r>
        <w:rPr>
          <w:rFonts w:hint="default" w:ascii="Verdana" w:hAnsi="Verdana"/>
          <w:i/>
          <w:iCs/>
          <w:sz w:val="15"/>
          <w:szCs w:val="15"/>
          <w:lang w:val="it-IT"/>
        </w:rPr>
        <w:t xml:space="preserve"> Decisione robotica,</w:t>
      </w:r>
      <w:r>
        <w:rPr>
          <w:rFonts w:hint="default" w:ascii="Verdana" w:hAnsi="Verdana"/>
          <w:sz w:val="15"/>
          <w:szCs w:val="15"/>
          <w:lang w:val="it-IT"/>
        </w:rPr>
        <w:t xml:space="preserve"> Bologna, 2019.</w:t>
      </w:r>
      <w:r>
        <w:rPr>
          <w:rFonts w:ascii="Verdana" w:hAnsi="Verdana"/>
          <w:sz w:val="15"/>
          <w:szCs w:val="15"/>
        </w:rPr>
        <w:t xml:space="preserve"> </w:t>
      </w:r>
      <w:r>
        <w:rPr>
          <w:rFonts w:ascii="Verdana" w:hAnsi="Verdana" w:cs="Verdana"/>
          <w:sz w:val="15"/>
          <w:szCs w:val="15"/>
        </w:rPr>
        <w:t xml:space="preserve">Da ultimo, si veda PIERANI-SCIALDONE, Vivere con l’intelligenza artificiale, Torino, 2021. Per approfondimenti su nuove tecnologie e tutela della persona, si veda CASSANO, </w:t>
      </w:r>
      <w:r>
        <w:rPr>
          <w:rFonts w:ascii="Verdana" w:hAnsi="Verdana" w:cs="Verdana"/>
          <w:i/>
          <w:iCs/>
          <w:sz w:val="15"/>
          <w:szCs w:val="15"/>
        </w:rPr>
        <w:t>Diritto dell’internet. Il sistema di tutele della persona</w:t>
      </w:r>
      <w:r>
        <w:rPr>
          <w:rFonts w:ascii="Verdana" w:hAnsi="Verdana" w:cs="Verdana"/>
          <w:sz w:val="15"/>
          <w:szCs w:val="15"/>
        </w:rPr>
        <w:t>, Milano, 2005.</w:t>
      </w:r>
    </w:p>
  </w:footnote>
  <w:footnote w:id="6">
    <w:p>
      <w:pPr>
        <w:pStyle w:val="14"/>
        <w:jc w:val="both"/>
        <w:rPr>
          <w:rFonts w:ascii="Verdana" w:hAnsi="Verdana" w:cs="Verdana"/>
          <w:sz w:val="15"/>
          <w:szCs w:val="15"/>
        </w:rPr>
      </w:pPr>
      <w:r>
        <w:rPr>
          <w:rStyle w:val="13"/>
          <w:rFonts w:ascii="Verdana" w:hAnsi="Verdana" w:cs="Verdana"/>
          <w:sz w:val="15"/>
          <w:szCs w:val="15"/>
        </w:rPr>
        <w:footnoteRef/>
      </w:r>
      <w:r>
        <w:rPr>
          <w:rFonts w:ascii="Verdana" w:hAnsi="Verdana" w:cs="Verdana"/>
          <w:sz w:val="15"/>
          <w:szCs w:val="15"/>
        </w:rPr>
        <w:t xml:space="preserve"> La sequenza con cui vengono rese disponibili le prove è oggetto di altro modello, spiegato nel contributo VIOLA, </w:t>
      </w:r>
      <w:r>
        <w:fldChar w:fldCharType="begin"/>
      </w:r>
      <w:r>
        <w:instrText xml:space="preserve"> HYPERLINK "https://www.agendadigitale.eu/documenti/dalla-toga-allabaco-ecco-come-la-matematica-traduce-il-processo-civile/" </w:instrText>
      </w:r>
      <w:r>
        <w:fldChar w:fldCharType="separate"/>
      </w:r>
      <w:r>
        <w:rPr>
          <w:rStyle w:val="16"/>
          <w:rFonts w:ascii="Verdana" w:hAnsi="Verdana" w:cs="Verdana"/>
          <w:i/>
          <w:iCs/>
          <w:color w:val="auto"/>
          <w:sz w:val="15"/>
          <w:szCs w:val="15"/>
        </w:rPr>
        <w:t>Tradurre il processo in una formula matematica: è possibile, ecco come</w:t>
      </w:r>
      <w:r>
        <w:rPr>
          <w:rStyle w:val="16"/>
          <w:rFonts w:ascii="Verdana" w:hAnsi="Verdana" w:cs="Verdana"/>
          <w:i/>
          <w:iCs/>
          <w:color w:val="auto"/>
          <w:sz w:val="15"/>
          <w:szCs w:val="15"/>
        </w:rPr>
        <w:fldChar w:fldCharType="end"/>
      </w:r>
      <w:r>
        <w:rPr>
          <w:rFonts w:ascii="Verdana" w:hAnsi="Verdana" w:cs="Verdana"/>
          <w:i/>
          <w:iCs/>
          <w:sz w:val="15"/>
          <w:szCs w:val="15"/>
        </w:rPr>
        <w:t>,</w:t>
      </w:r>
      <w:r>
        <w:rPr>
          <w:rFonts w:ascii="Verdana" w:hAnsi="Verdana" w:cs="Verdana"/>
          <w:sz w:val="15"/>
          <w:szCs w:val="15"/>
        </w:rPr>
        <w:t xml:space="preserve"> in </w:t>
      </w:r>
      <w:r>
        <w:rPr>
          <w:rFonts w:ascii="Verdana" w:hAnsi="Verdana" w:cs="Verdana"/>
          <w:i/>
          <w:iCs/>
          <w:sz w:val="15"/>
          <w:szCs w:val="15"/>
        </w:rPr>
        <w:t>AgendaDigitale.eu</w:t>
      </w:r>
      <w:r>
        <w:rPr>
          <w:rFonts w:ascii="Verdana" w:hAnsi="Verdana" w:cs="Verdana"/>
          <w:sz w:val="15"/>
          <w:szCs w:val="15"/>
        </w:rPr>
        <w:t xml:space="preserve">, 2020. Parte della giurisprudenza ha usato, per la redazione di provvedimenti giudiziari, una tecnica innovativa: inserire tutta la struttura decisionale in griglie sintetiche nelle quali gli elementi (tesi, antitesi e decisione) siano contenute in riquadri sinottici; sul punto di vedano alcune sentenze del Presidente Gianfranco D’AIETTI, reperibili su </w:t>
      </w:r>
      <w:r>
        <w:fldChar w:fldCharType="begin"/>
      </w:r>
      <w:r>
        <w:instrText xml:space="preserve"> HYPERLINK "https://www.remidafamiglia.com/images/news/2021/griglie/DAIETTI_GRIGLIE_esempi_1.pdf" </w:instrText>
      </w:r>
      <w:r>
        <w:fldChar w:fldCharType="separate"/>
      </w:r>
      <w:r>
        <w:rPr>
          <w:rStyle w:val="16"/>
          <w:rFonts w:ascii="Verdana" w:hAnsi="Verdana" w:cs="Verdana"/>
          <w:color w:val="auto"/>
          <w:sz w:val="15"/>
          <w:szCs w:val="15"/>
        </w:rPr>
        <w:t>ReMidaFamiglia.com</w:t>
      </w:r>
      <w:r>
        <w:rPr>
          <w:rStyle w:val="16"/>
          <w:rFonts w:ascii="Verdana" w:hAnsi="Verdana" w:cs="Verdana"/>
          <w:color w:val="auto"/>
          <w:sz w:val="15"/>
          <w:szCs w:val="15"/>
        </w:rPr>
        <w:fldChar w:fldCharType="end"/>
      </w:r>
      <w:r>
        <w:rPr>
          <w:rFonts w:ascii="Verdana" w:hAnsi="Verdana" w:cs="Verdana"/>
          <w:sz w:val="15"/>
          <w:szCs w:val="15"/>
        </w:rPr>
        <w:t>.</w:t>
      </w:r>
    </w:p>
  </w:footnote>
  <w:footnote w:id="7">
    <w:p>
      <w:pPr>
        <w:pStyle w:val="14"/>
        <w:jc w:val="both"/>
        <w:rPr>
          <w:rFonts w:ascii="Verdana" w:hAnsi="Verdana" w:cs="Verdana"/>
          <w:sz w:val="15"/>
          <w:szCs w:val="15"/>
        </w:rPr>
      </w:pPr>
      <w:r>
        <w:rPr>
          <w:rStyle w:val="13"/>
          <w:rFonts w:ascii="Verdana" w:hAnsi="Verdana" w:cs="Verdana"/>
          <w:sz w:val="15"/>
          <w:szCs w:val="15"/>
        </w:rPr>
        <w:footnoteRef/>
      </w:r>
      <w:r>
        <w:rPr>
          <w:rFonts w:ascii="Verdana" w:hAnsi="Verdana" w:cs="Verdana"/>
          <w:sz w:val="15"/>
          <w:szCs w:val="15"/>
        </w:rPr>
        <w:t xml:space="preserve"> Lo scrutinio delle prove tramite prudenza vale anche per le presunzioni semplici; l’art. 2729 c.c. recita che queste “</w:t>
      </w:r>
      <w:r>
        <w:rPr>
          <w:rFonts w:ascii="Verdana" w:hAnsi="Verdana" w:cs="Verdana"/>
          <w:i/>
          <w:iCs/>
          <w:sz w:val="15"/>
          <w:szCs w:val="15"/>
        </w:rPr>
        <w:t>sono lasciate alla prudenza del giudice”.</w:t>
      </w:r>
    </w:p>
  </w:footnote>
  <w:footnote w:id="8">
    <w:p>
      <w:pPr>
        <w:pStyle w:val="14"/>
        <w:snapToGrid w:val="0"/>
        <w:jc w:val="both"/>
        <w:rPr>
          <w:rFonts w:ascii="Verdana" w:hAnsi="Verdana" w:cs="Verdana"/>
          <w:sz w:val="15"/>
          <w:szCs w:val="15"/>
        </w:rPr>
      </w:pPr>
      <w:r>
        <w:rPr>
          <w:rStyle w:val="13"/>
          <w:rFonts w:ascii="Verdana" w:hAnsi="Verdana" w:cs="Verdana"/>
          <w:sz w:val="15"/>
          <w:szCs w:val="15"/>
        </w:rPr>
        <w:footnoteRef/>
      </w:r>
      <w:r>
        <w:rPr>
          <w:rFonts w:ascii="Verdana" w:hAnsi="Verdana" w:cs="Verdana"/>
          <w:sz w:val="15"/>
          <w:szCs w:val="15"/>
        </w:rPr>
        <w:t xml:space="preserve"> Tanto più attendibilità e verificabilità saranno elevati, tanto più il coefficiente VPA sarà vicino ad 1; tanto più attendibilità e verificabilità saranno bassi, tanto più il coefficiente VPA sarà vicino a 0.</w:t>
      </w:r>
    </w:p>
    <w:p>
      <w:pPr>
        <w:pStyle w:val="14"/>
        <w:snapToGrid w:val="0"/>
        <w:jc w:val="both"/>
        <w:rPr>
          <w:rFonts w:ascii="Verdana" w:hAnsi="Verdana" w:cs="Verdana"/>
          <w:sz w:val="15"/>
          <w:szCs w:val="15"/>
        </w:rPr>
      </w:pPr>
      <w:r>
        <w:rPr>
          <w:rFonts w:ascii="Verdana" w:hAnsi="Verdana" w:cs="Verdana"/>
          <w:sz w:val="15"/>
          <w:szCs w:val="15"/>
        </w:rPr>
        <w:t>Nel caso di utilizzo di presunzioni semplici, il coefficiente di VPA sarà tanto più elevato quanto sarà il grado di gravità-precisione-concordanza in conformità agli artt. 2727-2729 c.c.</w:t>
      </w:r>
    </w:p>
  </w:footnote>
  <w:footnote w:id="9">
    <w:p>
      <w:pPr>
        <w:pStyle w:val="14"/>
        <w:jc w:val="both"/>
        <w:rPr>
          <w:rFonts w:ascii="Verdana" w:hAnsi="Verdana" w:cs="Verdana"/>
          <w:b/>
          <w:bCs/>
          <w:sz w:val="15"/>
          <w:szCs w:val="15"/>
        </w:rPr>
      </w:pPr>
      <w:r>
        <w:rPr>
          <w:rStyle w:val="13"/>
          <w:rFonts w:ascii="Verdana" w:hAnsi="Verdana" w:cs="Verdana"/>
          <w:sz w:val="15"/>
          <w:szCs w:val="15"/>
        </w:rPr>
        <w:footnoteRef/>
      </w:r>
      <w:r>
        <w:rPr>
          <w:rFonts w:ascii="Verdana" w:hAnsi="Verdana" w:cs="Verdana"/>
          <w:sz w:val="15"/>
          <w:szCs w:val="15"/>
        </w:rPr>
        <w:t xml:space="preserve"> Precisa BIANCHI</w:t>
      </w:r>
      <w:r>
        <w:rPr>
          <w:rFonts w:ascii="Verdana" w:hAnsi="Verdana" w:cs="Verdana"/>
          <w:i/>
          <w:iCs/>
          <w:sz w:val="15"/>
          <w:szCs w:val="15"/>
        </w:rPr>
        <w:t xml:space="preserve">, </w:t>
      </w:r>
      <w:r>
        <w:rPr>
          <w:rFonts w:ascii="Verdana" w:hAnsi="Verdana" w:cs="Verdana"/>
          <w:b/>
          <w:bCs/>
          <w:i/>
          <w:iCs/>
          <w:sz w:val="15"/>
          <w:szCs w:val="15"/>
        </w:rPr>
        <w:t> </w:t>
      </w:r>
      <w:r>
        <w:fldChar w:fldCharType="begin"/>
      </w:r>
      <w:r>
        <w:instrText xml:space="preserve"> HYPERLINK "https://www.lanuovaproceduracivile.com/bianchi-il-nesso-causale-nel-diritto-con-formule-matematiche-riflessione-critica-sulla-giurisprudenza/" </w:instrText>
      </w:r>
      <w:r>
        <w:fldChar w:fldCharType="separate"/>
      </w:r>
      <w:r>
        <w:rPr>
          <w:rStyle w:val="16"/>
          <w:rFonts w:ascii="Verdana" w:hAnsi="Verdana" w:cs="Verdana"/>
          <w:i/>
          <w:iCs/>
          <w:color w:val="auto"/>
          <w:sz w:val="15"/>
          <w:szCs w:val="15"/>
        </w:rPr>
        <w:t>Il nesso causale nel diritto con formule matematiche: riflessione critica sulla giurisprudenza</w:t>
      </w:r>
      <w:r>
        <w:rPr>
          <w:rStyle w:val="16"/>
          <w:rFonts w:ascii="Verdana" w:hAnsi="Verdana" w:cs="Verdana"/>
          <w:i/>
          <w:iCs/>
          <w:color w:val="auto"/>
          <w:sz w:val="15"/>
          <w:szCs w:val="15"/>
        </w:rPr>
        <w:fldChar w:fldCharType="end"/>
      </w:r>
      <w:r>
        <w:rPr>
          <w:rFonts w:ascii="Verdana" w:hAnsi="Verdana" w:cs="Verdana"/>
          <w:sz w:val="15"/>
          <w:szCs w:val="15"/>
        </w:rPr>
        <w:t xml:space="preserve">, in </w:t>
      </w:r>
      <w:r>
        <w:rPr>
          <w:rFonts w:ascii="Verdana" w:hAnsi="Verdana" w:cs="Verdana"/>
          <w:i/>
          <w:iCs/>
          <w:sz w:val="15"/>
          <w:szCs w:val="15"/>
        </w:rPr>
        <w:t>La Nuova Procedura Civile</w:t>
      </w:r>
      <w:r>
        <w:rPr>
          <w:rFonts w:ascii="Verdana" w:hAnsi="Verdana" w:cs="Verdana"/>
          <w:sz w:val="15"/>
          <w:szCs w:val="15"/>
        </w:rPr>
        <w:t>, 3, 2020, che la probabilità dell’evento certo Ω è uno: P (Ω) = 1.</w:t>
      </w:r>
    </w:p>
  </w:footnote>
  <w:footnote w:id="10">
    <w:p>
      <w:pPr>
        <w:pStyle w:val="14"/>
        <w:jc w:val="both"/>
        <w:rPr>
          <w:rFonts w:ascii="Verdana" w:hAnsi="Verdana" w:cs="Verdana"/>
          <w:sz w:val="15"/>
          <w:szCs w:val="15"/>
        </w:rPr>
      </w:pPr>
      <w:r>
        <w:rPr>
          <w:rStyle w:val="13"/>
          <w:rFonts w:ascii="Verdana" w:hAnsi="Verdana" w:cs="Verdana"/>
          <w:sz w:val="15"/>
          <w:szCs w:val="15"/>
        </w:rPr>
        <w:footnoteRef/>
      </w:r>
      <w:r>
        <w:rPr>
          <w:rFonts w:ascii="Verdana" w:hAnsi="Verdana" w:cs="Verdana"/>
          <w:sz w:val="15"/>
          <w:szCs w:val="15"/>
        </w:rPr>
        <w:t xml:space="preserve"> Ovviamente vanno provati tutti i fatti costitutivi, come imposto dall’art. 2697 c.c.</w:t>
      </w:r>
    </w:p>
  </w:footnote>
  <w:footnote w:id="11">
    <w:p>
      <w:pPr>
        <w:pStyle w:val="14"/>
        <w:jc w:val="both"/>
        <w:rPr>
          <w:rFonts w:ascii="Verdana" w:hAnsi="Verdana" w:cs="Verdana"/>
          <w:sz w:val="15"/>
          <w:szCs w:val="15"/>
        </w:rPr>
      </w:pPr>
      <w:r>
        <w:rPr>
          <w:rStyle w:val="13"/>
          <w:rFonts w:ascii="Verdana" w:hAnsi="Verdana" w:cs="Verdana"/>
          <w:sz w:val="15"/>
          <w:szCs w:val="15"/>
        </w:rPr>
        <w:footnoteRef/>
      </w:r>
      <w:r>
        <w:rPr>
          <w:rFonts w:ascii="Verdana" w:hAnsi="Verdana" w:cs="Verdana"/>
          <w:sz w:val="15"/>
          <w:szCs w:val="15"/>
        </w:rPr>
        <w:t xml:space="preserve"> Per la tesi sulla gerarchia tra prove, si rinvia al volume VIOLA, </w:t>
      </w:r>
      <w:r>
        <w:fldChar w:fldCharType="begin"/>
      </w:r>
      <w:r>
        <w:instrText xml:space="preserve"> HYPERLINK "https://www.scuoladirittoavanzato.com/2021/07/13/viola-valutazione-delle-prove-secondo-prudente-apprezzamento-milano-dirittoavanzato-2021/" </w:instrText>
      </w:r>
      <w:r>
        <w:fldChar w:fldCharType="separate"/>
      </w:r>
      <w:r>
        <w:rPr>
          <w:rStyle w:val="16"/>
          <w:rFonts w:ascii="Verdana" w:hAnsi="Verdana" w:cs="Verdana"/>
          <w:i/>
          <w:iCs/>
          <w:sz w:val="15"/>
          <w:szCs w:val="15"/>
        </w:rPr>
        <w:t>Valutazione delle prove secondo prudente apprezzamento</w:t>
      </w:r>
      <w:r>
        <w:rPr>
          <w:rStyle w:val="16"/>
          <w:rFonts w:ascii="Verdana" w:hAnsi="Verdana" w:cs="Verdana"/>
          <w:sz w:val="15"/>
          <w:szCs w:val="15"/>
        </w:rPr>
        <w:t>,</w:t>
      </w:r>
      <w:r>
        <w:rPr>
          <w:rStyle w:val="16"/>
          <w:rFonts w:ascii="Verdana" w:hAnsi="Verdana" w:cs="Verdana"/>
          <w:sz w:val="15"/>
          <w:szCs w:val="15"/>
        </w:rPr>
        <w:fldChar w:fldCharType="end"/>
      </w:r>
      <w:r>
        <w:rPr>
          <w:rFonts w:ascii="Verdana" w:hAnsi="Verdana" w:cs="Verdana"/>
          <w:sz w:val="15"/>
          <w:szCs w:val="15"/>
        </w:rPr>
        <w:t xml:space="preserve"> DirittoAvnzato, Milano, 2021, dove è precisata la seguente disequazione di primo grado: </w:t>
      </w:r>
      <w:r>
        <w:rPr>
          <w:rFonts w:ascii="Verdana" w:hAnsi="Verdana" w:eastAsia="Times New Roman" w:cs="Verdana"/>
          <w:sz w:val="15"/>
          <w:szCs w:val="15"/>
        </w:rPr>
        <w:t xml:space="preserve">PLe ≥ Pli ≥ AP. La tesi prevalente in giurisprudenza nega la presenza di una gerarchia tra prove; tra le altre, si veda </w:t>
      </w:r>
      <w:r>
        <w:fldChar w:fldCharType="begin"/>
      </w:r>
      <w:r>
        <w:instrText xml:space="preserve"> HYPERLINK "https://www.lanuovaproceduracivile.com/wp-content/uploads/2020/10/teramo10.pdf" </w:instrText>
      </w:r>
      <w:r>
        <w:fldChar w:fldCharType="separate"/>
      </w:r>
      <w:r>
        <w:rPr>
          <w:rStyle w:val="11"/>
          <w:rFonts w:ascii="Verdana" w:hAnsi="Verdana" w:eastAsia="Times New Roman" w:cs="Verdana"/>
          <w:color w:val="auto"/>
          <w:sz w:val="15"/>
          <w:szCs w:val="15"/>
        </w:rPr>
        <w:t>Tribunale di Teramo, sezione lavoro, sentenza del 10.06.2020</w:t>
      </w:r>
      <w:r>
        <w:rPr>
          <w:rStyle w:val="11"/>
          <w:rFonts w:ascii="Verdana" w:hAnsi="Verdana" w:eastAsia="Times New Roman" w:cs="Verdana"/>
          <w:color w:val="auto"/>
          <w:sz w:val="15"/>
          <w:szCs w:val="15"/>
        </w:rPr>
        <w:fldChar w:fldCharType="end"/>
      </w:r>
      <w:r>
        <w:rPr>
          <w:rFonts w:ascii="Verdana" w:hAnsi="Verdana" w:eastAsia="Times New Roman" w:cs="Verdana"/>
          <w:sz w:val="15"/>
          <w:szCs w:val="15"/>
        </w:rPr>
        <w:t xml:space="preserve">, in </w:t>
      </w:r>
      <w:r>
        <w:rPr>
          <w:rFonts w:ascii="Verdana" w:hAnsi="Verdana" w:eastAsia="Times New Roman" w:cs="Verdana"/>
          <w:i/>
          <w:iCs/>
          <w:sz w:val="15"/>
          <w:szCs w:val="15"/>
        </w:rPr>
        <w:t>La Nuova Procedura Civile</w:t>
      </w:r>
      <w:r>
        <w:rPr>
          <w:rFonts w:ascii="Verdana" w:hAnsi="Verdana" w:eastAsia="Times New Roman" w:cs="Verdana"/>
          <w:sz w:val="15"/>
          <w:szCs w:val="15"/>
        </w:rPr>
        <w:t>, 4, 2020, secondo cui “</w:t>
      </w:r>
      <w:r>
        <w:rPr>
          <w:rFonts w:ascii="Verdana" w:hAnsi="Verdana" w:eastAsia="Times New Roman" w:cs="Verdana"/>
          <w:i/>
          <w:iCs/>
          <w:sz w:val="15"/>
          <w:szCs w:val="15"/>
        </w:rPr>
        <w:t xml:space="preserve">tutte le dichiarazioni introdotte in un giudizio civile devono essere valutate nel complesso del materiale raccolto, non esistendo alcuna rigida gerarchia e analizzate al cospetto del principio processuale che impone al giudicante di applicare imparzialmente ed autonomamente i criteri di valutazione critica su tutte le dichiarazioni introdotte in un processo con prudente apprezzamento di tutti i contrapposti elementi probatori acquisiti alla causa”. </w:t>
      </w:r>
      <w:r>
        <w:rPr>
          <w:rFonts w:ascii="Verdana" w:hAnsi="Verdana" w:eastAsia="Times New Roman" w:cs="Verdana"/>
          <w:sz w:val="15"/>
          <w:szCs w:val="15"/>
        </w:rPr>
        <w:t xml:space="preserve">E’ interessante quanto si legge in DITTRICH, </w:t>
      </w:r>
      <w:r>
        <w:rPr>
          <w:rFonts w:ascii="Verdana" w:hAnsi="Verdana" w:eastAsia="Times New Roman" w:cs="Verdana"/>
          <w:i/>
          <w:iCs/>
          <w:sz w:val="15"/>
          <w:szCs w:val="15"/>
        </w:rPr>
        <w:t>L’assunzione delle prove nel processo civile italiano</w:t>
      </w:r>
      <w:r>
        <w:rPr>
          <w:rFonts w:ascii="Verdana" w:hAnsi="Verdana" w:eastAsia="Times New Roman" w:cs="Verdana"/>
          <w:sz w:val="15"/>
          <w:szCs w:val="15"/>
        </w:rPr>
        <w:t xml:space="preserve">, in  </w:t>
      </w:r>
      <w:r>
        <w:rPr>
          <w:rFonts w:ascii="Verdana" w:hAnsi="Verdana" w:eastAsia="Times New Roman" w:cs="Verdana"/>
          <w:i/>
          <w:iCs/>
          <w:sz w:val="15"/>
          <w:szCs w:val="15"/>
        </w:rPr>
        <w:t>Riv. Dir. Proc</w:t>
      </w:r>
      <w:r>
        <w:rPr>
          <w:rFonts w:ascii="Verdana" w:hAnsi="Verdana" w:eastAsia="Times New Roman" w:cs="Verdana"/>
          <w:sz w:val="15"/>
          <w:szCs w:val="15"/>
        </w:rPr>
        <w:t>., 2016, 3, 589, laddove si afferma che “</w:t>
      </w:r>
      <w:r>
        <w:rPr>
          <w:rFonts w:ascii="Verdana" w:hAnsi="Verdana" w:eastAsia="Times New Roman" w:cs="Verdana"/>
          <w:i/>
          <w:iCs/>
          <w:sz w:val="15"/>
          <w:szCs w:val="15"/>
        </w:rPr>
        <w:t xml:space="preserve">vi sono, è vero, istituti attraverso i quali la parte può contribuire alla formazione del materiale probatorio; quanto ai possibili esiti, essi tendono però a porsi agli estremi di un'ipotetica gerarchia delle prove: mentre l'interrogatorio libero somministra esclusivamente modesti «argomenti di prova», l'interrogatorio formale assume specifica rilevanza solo allorquando provoca la confessione, ovvero una prova legale; altrettanto accade con la confessione”. </w:t>
      </w:r>
      <w:r>
        <w:rPr>
          <w:rFonts w:ascii="Verdana" w:hAnsi="Verdana" w:eastAsia="Times New Roman" w:cs="Verdana"/>
          <w:sz w:val="15"/>
          <w:szCs w:val="15"/>
        </w:rPr>
        <w:t>Sul tema del ruiparto dell’onere probatorio, si veda VASAPOLLO,</w:t>
      </w:r>
      <w:r>
        <w:rPr>
          <w:rFonts w:ascii="Verdana" w:hAnsi="Verdana" w:eastAsia="Times New Roman" w:cs="Verdana"/>
          <w:i/>
          <w:iCs/>
          <w:sz w:val="15"/>
          <w:szCs w:val="15"/>
        </w:rPr>
        <w:t xml:space="preserve"> </w:t>
      </w:r>
      <w:r>
        <w:fldChar w:fldCharType="begin"/>
      </w:r>
      <w:r>
        <w:instrText xml:space="preserve"> HYPERLINK "https://www.lanuovaproceduracivile.com/lonere-della-prova-le-regole-generali-e-le-sue-eccezioni/" </w:instrText>
      </w:r>
      <w:r>
        <w:fldChar w:fldCharType="separate"/>
      </w:r>
      <w:r>
        <w:rPr>
          <w:rStyle w:val="16"/>
          <w:rFonts w:ascii="Verdana" w:hAnsi="Verdana" w:eastAsia="Times New Roman" w:cs="Verdana"/>
          <w:i/>
          <w:iCs/>
          <w:sz w:val="15"/>
          <w:szCs w:val="15"/>
        </w:rPr>
        <w:t>L’onere della prova: le regole generali e le sue eccezioni</w:t>
      </w:r>
      <w:r>
        <w:rPr>
          <w:rStyle w:val="16"/>
          <w:rFonts w:ascii="Verdana" w:hAnsi="Verdana" w:eastAsia="Times New Roman" w:cs="Verdana"/>
          <w:i/>
          <w:iCs/>
          <w:sz w:val="15"/>
          <w:szCs w:val="15"/>
        </w:rPr>
        <w:fldChar w:fldCharType="end"/>
      </w:r>
      <w:r>
        <w:rPr>
          <w:rFonts w:ascii="Verdana" w:hAnsi="Verdana" w:eastAsia="Times New Roman" w:cs="Verdana"/>
          <w:sz w:val="15"/>
          <w:szCs w:val="15"/>
        </w:rPr>
        <w:t xml:space="preserve">, in </w:t>
      </w:r>
      <w:r>
        <w:rPr>
          <w:rFonts w:ascii="Verdana" w:hAnsi="Verdana" w:eastAsia="Times New Roman" w:cs="Verdana"/>
          <w:i/>
          <w:iCs/>
          <w:sz w:val="15"/>
          <w:szCs w:val="15"/>
        </w:rPr>
        <w:t>La Nuova Procedura Civile</w:t>
      </w:r>
      <w:r>
        <w:rPr>
          <w:rFonts w:ascii="Verdana" w:hAnsi="Verdana" w:eastAsia="Times New Roman" w:cs="Verdana"/>
          <w:sz w:val="15"/>
          <w:szCs w:val="15"/>
        </w:rPr>
        <w:t>, 2013.</w:t>
      </w:r>
    </w:p>
  </w:footnote>
  <w:footnote w:id="12">
    <w:p>
      <w:pPr>
        <w:pStyle w:val="14"/>
        <w:jc w:val="both"/>
        <w:rPr>
          <w:rFonts w:ascii="Verdana" w:hAnsi="Verdana" w:cs="Verdana"/>
          <w:sz w:val="15"/>
          <w:szCs w:val="15"/>
        </w:rPr>
      </w:pPr>
      <w:r>
        <w:rPr>
          <w:rStyle w:val="13"/>
          <w:rFonts w:ascii="Verdana" w:hAnsi="Verdana" w:cs="Verdana"/>
          <w:sz w:val="15"/>
          <w:szCs w:val="15"/>
        </w:rPr>
        <w:footnoteRef/>
      </w:r>
      <w:r>
        <w:rPr>
          <w:rFonts w:ascii="Verdana" w:hAnsi="Verdana" w:cs="Verdana"/>
          <w:sz w:val="15"/>
          <w:szCs w:val="15"/>
        </w:rPr>
        <w:t xml:space="preserve"> In modo semplificato.</w:t>
      </w:r>
    </w:p>
  </w:footnote>
  <w:footnote w:id="13">
    <w:p>
      <w:pPr>
        <w:pStyle w:val="14"/>
        <w:snapToGrid w:val="0"/>
        <w:jc w:val="both"/>
        <w:rPr>
          <w:rFonts w:ascii="Verdana" w:hAnsi="Verdana" w:cs="Verdana"/>
          <w:sz w:val="15"/>
          <w:szCs w:val="15"/>
        </w:rPr>
      </w:pPr>
      <w:r>
        <w:rPr>
          <w:rStyle w:val="13"/>
          <w:rFonts w:ascii="Verdana" w:hAnsi="Verdana" w:cs="Verdana"/>
          <w:sz w:val="15"/>
          <w:szCs w:val="15"/>
        </w:rPr>
        <w:footnoteRef/>
      </w:r>
      <w:r>
        <w:rPr>
          <w:rFonts w:ascii="Verdana" w:hAnsi="Verdana" w:cs="Verdana"/>
          <w:sz w:val="15"/>
          <w:szCs w:val="15"/>
        </w:rPr>
        <w:t xml:space="preserve"> </w:t>
      </w:r>
      <w:r>
        <w:fldChar w:fldCharType="begin"/>
      </w:r>
      <w:r>
        <w:instrText xml:space="preserve"> HYPERLINK "https://www.lanuovaproceduracivile.com/causalita-civile-la-preponderanza-dellevidenza-e-costituita-da-piu-probabile-che-non-e-da-prevalenza-relativa/" </w:instrText>
      </w:r>
      <w:r>
        <w:fldChar w:fldCharType="separate"/>
      </w:r>
      <w:r>
        <w:rPr>
          <w:rStyle w:val="16"/>
          <w:rFonts w:ascii="Verdana" w:hAnsi="Verdana" w:cs="Verdana"/>
          <w:sz w:val="15"/>
          <w:szCs w:val="15"/>
        </w:rPr>
        <w:t>Cassazione civile, sezione terza, ordinanza del  6.7.2020, n. 13872</w:t>
      </w:r>
      <w:r>
        <w:rPr>
          <w:rStyle w:val="16"/>
          <w:rFonts w:ascii="Verdana" w:hAnsi="Verdana" w:cs="Verdana"/>
          <w:sz w:val="15"/>
          <w:szCs w:val="15"/>
        </w:rPr>
        <w:fldChar w:fldCharType="end"/>
      </w:r>
      <w:r>
        <w:rPr>
          <w:rFonts w:ascii="Verdana" w:hAnsi="Verdana" w:cs="Verdana"/>
          <w:sz w:val="15"/>
          <w:szCs w:val="15"/>
        </w:rPr>
        <w:t xml:space="preserve"> in </w:t>
      </w:r>
      <w:r>
        <w:rPr>
          <w:rFonts w:ascii="Verdana" w:hAnsi="Verdana" w:cs="Verdana"/>
          <w:i/>
          <w:iCs/>
          <w:sz w:val="15"/>
          <w:szCs w:val="15"/>
        </w:rPr>
        <w:t>La Nuova Procedura Civile</w:t>
      </w:r>
      <w:r>
        <w:rPr>
          <w:rFonts w:ascii="Verdana" w:hAnsi="Verdana" w:cs="Verdana"/>
          <w:sz w:val="15"/>
          <w:szCs w:val="15"/>
        </w:rPr>
        <w:t xml:space="preserve">, 3, 2020; nello stesso senso, </w:t>
      </w:r>
      <w:r>
        <w:fldChar w:fldCharType="begin"/>
      </w:r>
      <w:r>
        <w:instrText xml:space="preserve"> HYPERLINK "https://www.lanuovaproceduracivile.com/nesso-di-causalita-secondo-il-piu-probabile-che-non-nel-caso-di-4-alternative-causali-no-allaritmetica-si-a-tre-fasi-con-eliminazione-e-scelta/" </w:instrText>
      </w:r>
      <w:r>
        <w:fldChar w:fldCharType="separate"/>
      </w:r>
      <w:r>
        <w:rPr>
          <w:rStyle w:val="16"/>
          <w:rFonts w:ascii="Verdana" w:hAnsi="Verdana" w:cs="Verdana"/>
          <w:sz w:val="15"/>
          <w:szCs w:val="15"/>
        </w:rPr>
        <w:t>Cassazione civile, sezione terza, sentenza del 2.9.2022, n. 25884</w:t>
      </w:r>
      <w:r>
        <w:rPr>
          <w:rStyle w:val="16"/>
          <w:rFonts w:ascii="Verdana" w:hAnsi="Verdana" w:cs="Verdana"/>
          <w:sz w:val="15"/>
          <w:szCs w:val="15"/>
        </w:rPr>
        <w:fldChar w:fldCharType="end"/>
      </w:r>
      <w:r>
        <w:rPr>
          <w:rFonts w:ascii="Verdana" w:hAnsi="Verdana" w:cs="Verdana"/>
          <w:sz w:val="15"/>
          <w:szCs w:val="15"/>
        </w:rPr>
        <w:t xml:space="preserve">, in </w:t>
      </w:r>
      <w:r>
        <w:rPr>
          <w:rFonts w:ascii="Verdana" w:hAnsi="Verdana" w:cs="Verdana"/>
          <w:i/>
          <w:iCs/>
          <w:sz w:val="15"/>
          <w:szCs w:val="15"/>
        </w:rPr>
        <w:t>La Nuova Procedura Civile,</w:t>
      </w:r>
      <w:r>
        <w:rPr>
          <w:rFonts w:ascii="Verdana" w:hAnsi="Verdana" w:cs="Verdana"/>
          <w:sz w:val="15"/>
          <w:szCs w:val="15"/>
        </w:rPr>
        <w:t xml:space="preserve"> 3, 2022. In senso critico, VIOLA, </w:t>
      </w:r>
      <w:r>
        <w:fldChar w:fldCharType="begin"/>
      </w:r>
      <w:r>
        <w:instrText xml:space="preserve"> HYPERLINK "https://www.lanuovaproceduracivile.com/viola-piu-probabile-che-non-vs-prudente-apprezzamento/" </w:instrText>
      </w:r>
      <w:r>
        <w:fldChar w:fldCharType="separate"/>
      </w:r>
      <w:r>
        <w:rPr>
          <w:rStyle w:val="16"/>
          <w:rFonts w:ascii="Verdana" w:hAnsi="Verdana"/>
          <w:sz w:val="15"/>
          <w:szCs w:val="15"/>
        </w:rPr>
        <w:t>Più probabile che non VS prudente apprezzamento</w:t>
      </w:r>
      <w:r>
        <w:rPr>
          <w:rStyle w:val="16"/>
          <w:rFonts w:ascii="Verdana" w:hAnsi="Verdana"/>
          <w:sz w:val="15"/>
          <w:szCs w:val="15"/>
        </w:rPr>
        <w:fldChar w:fldCharType="end"/>
      </w:r>
      <w:r>
        <w:rPr>
          <w:rFonts w:ascii="Verdana" w:hAnsi="Verdana"/>
          <w:sz w:val="15"/>
          <w:szCs w:val="15"/>
        </w:rPr>
        <w:t xml:space="preserve">, in </w:t>
      </w:r>
      <w:r>
        <w:rPr>
          <w:rFonts w:ascii="Verdana" w:hAnsi="Verdana"/>
          <w:i/>
          <w:iCs/>
          <w:sz w:val="15"/>
          <w:szCs w:val="15"/>
        </w:rPr>
        <w:t xml:space="preserve">La Nuova Procedura Civile, </w:t>
      </w:r>
      <w:r>
        <w:rPr>
          <w:rFonts w:ascii="Verdana" w:hAnsi="Verdana"/>
          <w:sz w:val="15"/>
          <w:szCs w:val="15"/>
        </w:rPr>
        <w:t xml:space="preserve">3, 2020. </w:t>
      </w:r>
      <w:r>
        <w:rPr>
          <w:rFonts w:ascii="Verdana" w:hAnsi="Verdana" w:cs="Verdana"/>
          <w:sz w:val="15"/>
          <w:szCs w:val="15"/>
        </w:rPr>
        <w:t xml:space="preserve">Per le malattie professionali non tabellate si pretende la argionevole certezza oppure un notevole grado di probabilità; così </w:t>
      </w:r>
      <w:r>
        <w:fldChar w:fldCharType="begin"/>
      </w:r>
      <w:r>
        <w:instrText xml:space="preserve"> HYPERLINK "https://www.lanuovaproceduracivile.com/piu-probabile-che-non-vale-in-generale-ma-per-le-malattie-non-tabellate-serve-la-ragionevole-certezza/" </w:instrText>
      </w:r>
      <w:r>
        <w:fldChar w:fldCharType="separate"/>
      </w:r>
      <w:r>
        <w:rPr>
          <w:rStyle w:val="16"/>
          <w:rFonts w:ascii="Verdana" w:hAnsi="Verdana"/>
          <w:sz w:val="15"/>
          <w:szCs w:val="15"/>
        </w:rPr>
        <w:t>Cassazione civile, sezione sesta, ordinanza del 20.10.2021, n. 29133</w:t>
      </w:r>
      <w:r>
        <w:rPr>
          <w:rStyle w:val="16"/>
          <w:rFonts w:ascii="Verdana" w:hAnsi="Verdana"/>
          <w:sz w:val="15"/>
          <w:szCs w:val="15"/>
        </w:rPr>
        <w:fldChar w:fldCharType="end"/>
      </w:r>
      <w:r>
        <w:rPr>
          <w:rFonts w:ascii="Verdana" w:hAnsi="Verdana"/>
          <w:sz w:val="15"/>
          <w:szCs w:val="15"/>
        </w:rPr>
        <w:t xml:space="preserve"> in </w:t>
      </w:r>
      <w:r>
        <w:rPr>
          <w:rFonts w:ascii="Verdana" w:hAnsi="Verdana"/>
          <w:i/>
          <w:iCs/>
          <w:sz w:val="15"/>
          <w:szCs w:val="15"/>
        </w:rPr>
        <w:t>La Nuova Procedura Civile,</w:t>
      </w:r>
      <w:r>
        <w:rPr>
          <w:rFonts w:ascii="Verdana" w:hAnsi="Verdana"/>
          <w:sz w:val="15"/>
          <w:szCs w:val="15"/>
        </w:rPr>
        <w:t xml:space="preserve"> 1, 2021.</w:t>
      </w:r>
    </w:p>
  </w:footnote>
  <w:footnote w:id="14">
    <w:p>
      <w:pPr>
        <w:pStyle w:val="18"/>
        <w:widowControl/>
        <w:shd w:val="clear" w:color="auto" w:fill="FFFFFF"/>
        <w:jc w:val="both"/>
        <w:textAlignment w:val="baseline"/>
        <w:rPr>
          <w:rStyle w:val="9"/>
          <w:rFonts w:ascii="Verdana" w:hAnsi="Verdana" w:cs="Verdana"/>
          <w:color w:val="000000"/>
          <w:sz w:val="15"/>
          <w:szCs w:val="15"/>
          <w:shd w:val="clear" w:color="auto" w:fill="FFFFFF"/>
        </w:rPr>
      </w:pPr>
      <w:r>
        <w:rPr>
          <w:rStyle w:val="13"/>
          <w:rFonts w:ascii="Verdana" w:hAnsi="Verdana" w:cs="Verdana"/>
          <w:sz w:val="15"/>
          <w:szCs w:val="15"/>
        </w:rPr>
        <w:footnoteRef/>
      </w:r>
      <w:r>
        <w:rPr>
          <w:rFonts w:ascii="Verdana" w:hAnsi="Verdana" w:cs="Verdana"/>
          <w:sz w:val="15"/>
          <w:szCs w:val="15"/>
        </w:rPr>
        <w:t xml:space="preserve"> Per </w:t>
      </w:r>
      <w:r>
        <w:fldChar w:fldCharType="begin"/>
      </w:r>
      <w:r>
        <w:instrText xml:space="preserve"> HYPERLINK "https://www.lanuovaproceduracivile.com/per-il-giudizio-civile-la-sussistenza-degli-elementi-costitutivi-dellillecito-si-basa-sul-piu-probabile-che-non/" </w:instrText>
      </w:r>
      <w:r>
        <w:fldChar w:fldCharType="separate"/>
      </w:r>
      <w:r>
        <w:rPr>
          <w:rStyle w:val="16"/>
          <w:rFonts w:ascii="Verdana" w:hAnsi="Verdana" w:cs="Verdana"/>
          <w:color w:val="437BD0"/>
          <w:sz w:val="15"/>
          <w:szCs w:val="15"/>
          <w:shd w:val="clear" w:color="auto" w:fill="FFFFFF"/>
        </w:rPr>
        <w:t>Cassazione civile, sezione terza, sentenza del 14.09.2022, n. 27016</w:t>
      </w:r>
      <w:r>
        <w:rPr>
          <w:rStyle w:val="16"/>
          <w:rFonts w:ascii="Verdana" w:hAnsi="Verdana" w:cs="Verdana"/>
          <w:color w:val="437BD0"/>
          <w:sz w:val="15"/>
          <w:szCs w:val="15"/>
          <w:shd w:val="clear" w:color="auto" w:fill="FFFFFF"/>
        </w:rPr>
        <w:fldChar w:fldCharType="end"/>
      </w:r>
      <w:r>
        <w:rPr>
          <w:rFonts w:ascii="Verdana" w:hAnsi="Verdana" w:cs="Verdana"/>
          <w:color w:val="000000"/>
          <w:sz w:val="15"/>
          <w:szCs w:val="15"/>
          <w:shd w:val="clear" w:color="auto" w:fill="FFFFFF"/>
        </w:rPr>
        <w:t xml:space="preserve">,  in </w:t>
      </w:r>
      <w:r>
        <w:rPr>
          <w:rFonts w:ascii="Verdana" w:hAnsi="Verdana" w:cs="Verdana"/>
          <w:i/>
          <w:iCs/>
          <w:color w:val="000000"/>
          <w:sz w:val="15"/>
          <w:szCs w:val="15"/>
          <w:shd w:val="clear" w:color="auto" w:fill="FFFFFF"/>
        </w:rPr>
        <w:t>La Nuova procedura Civile</w:t>
      </w:r>
      <w:r>
        <w:rPr>
          <w:rFonts w:ascii="Verdana" w:hAnsi="Verdana" w:cs="Verdana"/>
          <w:color w:val="000000"/>
          <w:sz w:val="15"/>
          <w:szCs w:val="15"/>
          <w:shd w:val="clear" w:color="auto" w:fill="FFFFFF"/>
        </w:rPr>
        <w:t xml:space="preserve">, 3, 2022, </w:t>
      </w:r>
      <w:r>
        <w:rPr>
          <w:rStyle w:val="9"/>
          <w:rFonts w:ascii="Verdana" w:hAnsi="Verdana" w:cs="Verdana"/>
          <w:i w:val="0"/>
          <w:iCs w:val="0"/>
          <w:color w:val="000000"/>
          <w:sz w:val="15"/>
          <w:szCs w:val="15"/>
          <w:shd w:val="clear" w:color="auto" w:fill="FFFFFF"/>
        </w:rPr>
        <w:t>una volta</w:t>
      </w:r>
      <w:r>
        <w:rPr>
          <w:rStyle w:val="9"/>
          <w:rFonts w:ascii="Verdana" w:hAnsi="Verdana" w:cs="Verdana"/>
          <w:color w:val="000000"/>
          <w:sz w:val="15"/>
          <w:szCs w:val="15"/>
          <w:shd w:val="clear" w:color="auto" w:fill="FFFFFF"/>
        </w:rPr>
        <w:t xml:space="preserve"> “separata la res iudicanda penale da quella civile, a quest’ultima debbono applicarsi le regole processuali civili, con la conseguente sufficienza di un minor grado certezza in ordine alla sussistenza degli elementi costitutivi dell’illecito, secondo i canoni civilistici tanto del più probabile che non, quanto della probabilità prevalente”. </w:t>
      </w:r>
    </w:p>
    <w:p>
      <w:pPr>
        <w:pStyle w:val="18"/>
        <w:widowControl/>
        <w:shd w:val="clear" w:color="auto" w:fill="FFFFFF"/>
        <w:jc w:val="both"/>
        <w:textAlignment w:val="baseline"/>
        <w:rPr>
          <w:rStyle w:val="9"/>
          <w:rFonts w:ascii="Verdana" w:hAnsi="Verdana" w:cs="Verdana"/>
          <w:color w:val="000000"/>
          <w:sz w:val="15"/>
          <w:szCs w:val="15"/>
          <w:shd w:val="clear" w:color="auto" w:fill="FFFFFF"/>
        </w:rPr>
      </w:pPr>
      <w:r>
        <w:rPr>
          <w:rStyle w:val="9"/>
          <w:rFonts w:ascii="Verdana" w:hAnsi="Verdana" w:cs="Verdana"/>
          <w:i w:val="0"/>
          <w:iCs w:val="0"/>
          <w:color w:val="000000"/>
          <w:sz w:val="15"/>
          <w:szCs w:val="15"/>
          <w:shd w:val="clear" w:color="auto" w:fill="FFFFFF"/>
        </w:rPr>
        <w:t xml:space="preserve">In senso conforme, si legge in </w:t>
      </w:r>
      <w:r>
        <w:fldChar w:fldCharType="begin"/>
      </w:r>
      <w:r>
        <w:instrText xml:space="preserve"> HYPERLINK "https://www.lanuovaproceduracivile.com/causalita-e-probabilita-prevalente-si-alla-probabilita-baconiana/" </w:instrText>
      </w:r>
      <w:r>
        <w:fldChar w:fldCharType="separate"/>
      </w:r>
      <w:r>
        <w:rPr>
          <w:rStyle w:val="16"/>
          <w:rFonts w:ascii="Verdana" w:hAnsi="Verdana" w:cs="Verdana"/>
          <w:color w:val="000000"/>
          <w:sz w:val="15"/>
          <w:szCs w:val="15"/>
          <w:shd w:val="clear" w:color="auto" w:fill="FFFFFF"/>
        </w:rPr>
        <w:t>Tribunale Firenze, sezione lavoro, sentenza del 25.06.2022</w:t>
      </w:r>
      <w:r>
        <w:rPr>
          <w:rStyle w:val="16"/>
          <w:rFonts w:ascii="Verdana" w:hAnsi="Verdana" w:cs="Verdana"/>
          <w:color w:val="000000"/>
          <w:sz w:val="15"/>
          <w:szCs w:val="15"/>
          <w:shd w:val="clear" w:color="auto" w:fill="FFFFFF"/>
        </w:rPr>
        <w:fldChar w:fldCharType="end"/>
      </w:r>
      <w:r>
        <w:rPr>
          <w:rStyle w:val="9"/>
          <w:rFonts w:ascii="Verdana" w:hAnsi="Verdana" w:cs="Verdana"/>
          <w:i w:val="0"/>
          <w:iCs w:val="0"/>
          <w:color w:val="000000"/>
          <w:sz w:val="15"/>
          <w:szCs w:val="15"/>
          <w:shd w:val="clear" w:color="auto" w:fill="FFFFFF"/>
        </w:rPr>
        <w:t xml:space="preserve"> in</w:t>
      </w:r>
      <w:r>
        <w:rPr>
          <w:rStyle w:val="9"/>
          <w:rFonts w:ascii="Verdana" w:hAnsi="Verdana" w:cs="Verdana"/>
          <w:color w:val="000000"/>
          <w:sz w:val="15"/>
          <w:szCs w:val="15"/>
          <w:shd w:val="clear" w:color="auto" w:fill="FFFFFF"/>
        </w:rPr>
        <w:t xml:space="preserve"> La Nuova procedura Civile, </w:t>
      </w:r>
      <w:r>
        <w:rPr>
          <w:rStyle w:val="9"/>
          <w:rFonts w:ascii="Verdana" w:hAnsi="Verdana" w:cs="Verdana"/>
          <w:i w:val="0"/>
          <w:iCs w:val="0"/>
          <w:color w:val="000000"/>
          <w:sz w:val="15"/>
          <w:szCs w:val="15"/>
          <w:shd w:val="clear" w:color="auto" w:fill="FFFFFF"/>
        </w:rPr>
        <w:t>2, 2022</w:t>
      </w:r>
      <w:r>
        <w:rPr>
          <w:rStyle w:val="9"/>
          <w:rFonts w:ascii="Verdana" w:hAnsi="Verdana" w:cs="Verdana"/>
          <w:color w:val="000000"/>
          <w:sz w:val="15"/>
          <w:szCs w:val="15"/>
          <w:shd w:val="clear" w:color="auto" w:fill="FFFFFF"/>
        </w:rPr>
        <w:t xml:space="preserve">, </w:t>
      </w:r>
      <w:r>
        <w:rPr>
          <w:rStyle w:val="9"/>
          <w:rFonts w:ascii="Verdana" w:hAnsi="Verdana" w:cs="Verdana"/>
          <w:i w:val="0"/>
          <w:iCs w:val="0"/>
          <w:color w:val="000000"/>
          <w:sz w:val="15"/>
          <w:szCs w:val="15"/>
          <w:shd w:val="clear" w:color="auto" w:fill="FFFFFF"/>
        </w:rPr>
        <w:t>che “d</w:t>
      </w:r>
      <w:r>
        <w:rPr>
          <w:rStyle w:val="9"/>
          <w:rFonts w:ascii="Verdana" w:hAnsi="Verdana" w:cs="Verdana"/>
          <w:color w:val="000000"/>
          <w:sz w:val="15"/>
          <w:szCs w:val="15"/>
          <w:shd w:val="clear" w:color="auto" w:fill="FFFFFF"/>
        </w:rPr>
        <w:t>etto standard di “certezza probabilistica” in materia civile non può essere ancorato esclusivamente alla determinazione quantitativa – statistica delle frequenze di classi di eventi (c.d. probabilità quantitativa o pascaliana), che potrebbe anche mancare o essere inconferente, ma va verificato riconducendone il grado di fondatezza all’ambito degli elementi di conferma (e nel contempo di esclusione di altri possibili alternativi) disponibili in relazione al caso concreto (c.d. probabilità logica o baconiana). Nello schema generale della probabilità come relazione logica va determinata l’attendibilità dell’ipotesi sulla base dei relativi elementi di conferma (c.d. evidence and inference nei sistemi anglosassoni).</w:t>
      </w:r>
    </w:p>
    <w:p>
      <w:pPr>
        <w:pStyle w:val="18"/>
        <w:widowControl/>
        <w:shd w:val="clear" w:color="auto" w:fill="FFFFFF"/>
        <w:jc w:val="both"/>
        <w:textAlignment w:val="baseline"/>
        <w:rPr>
          <w:rFonts w:ascii="Verdana" w:hAnsi="Verdana" w:cs="Verdana"/>
          <w:sz w:val="15"/>
          <w:szCs w:val="15"/>
        </w:rPr>
      </w:pPr>
      <w:r>
        <w:rPr>
          <w:rStyle w:val="9"/>
          <w:rFonts w:ascii="Verdana" w:hAnsi="Verdana" w:cs="Verdana"/>
          <w:color w:val="000000"/>
          <w:sz w:val="15"/>
          <w:szCs w:val="15"/>
          <w:shd w:val="clear" w:color="auto" w:fill="FFFFFF"/>
        </w:rPr>
        <w:t>Sennonché esigenze di coerenza e di armonia dell’intero processo civile comportano che tale principio della probabilità prevalente si applichi anche allorché vi sia un problema di scelta di una delle ipotesi, tra loro incompatibili o contraddittorie, sul fatto, quando tali ipotesi abbiano ottenuto gradi di conferma sulla base degli elementi di prova disponibili. In questo caso la scelta da porre a base della decisione di natura civile va compiuta applicando il criterio della probabilità prevalente. Bisogna in sede di decisione sul fatto scegliere l’ipotesi che riceve il supporto relativamente maggiore sulla base degli elementi di prova complessivamente disponibili. Trattasi, quindi, di una scelta comparativa e relativa all’interno di un campo rappresentato da alcune ipotesi dotate di senso, perché in vario grado probabili, e caratterizzato da un numero finito di elementi di prova favorevoli all’una o all’altra ipotesi”.</w:t>
      </w:r>
    </w:p>
  </w:footnote>
  <w:footnote w:id="15">
    <w:p>
      <w:pPr>
        <w:pStyle w:val="18"/>
        <w:widowControl/>
        <w:shd w:val="clear" w:color="auto" w:fill="FFFFFF"/>
        <w:jc w:val="both"/>
        <w:textAlignment w:val="baseline"/>
        <w:rPr>
          <w:rFonts w:ascii="Verdana" w:hAnsi="Verdana" w:cs="Verdana"/>
          <w:sz w:val="15"/>
          <w:szCs w:val="15"/>
        </w:rPr>
      </w:pPr>
      <w:r>
        <w:rPr>
          <w:rStyle w:val="13"/>
          <w:rFonts w:ascii="Verdana" w:hAnsi="Verdana" w:cs="Verdana"/>
          <w:sz w:val="15"/>
          <w:szCs w:val="15"/>
        </w:rPr>
        <w:footnoteRef/>
      </w:r>
      <w:r>
        <w:rPr>
          <w:rFonts w:ascii="Verdana" w:hAnsi="Verdana" w:cs="Verdana"/>
          <w:sz w:val="15"/>
          <w:szCs w:val="15"/>
        </w:rPr>
        <w:t xml:space="preserve"> Per </w:t>
      </w:r>
      <w:r>
        <w:fldChar w:fldCharType="begin"/>
      </w:r>
      <w:r>
        <w:instrText xml:space="preserve"> HYPERLINK "https://www.lanuovaproceduracivile.com/piu-probabile-che-non-rileva-solo-per-il-nesso-causale-il-fatto-ignorato-e-conseguenza-di-fatti-certi-serve-lelevata-attendibilita-rappresentativa/" </w:instrText>
      </w:r>
      <w:r>
        <w:fldChar w:fldCharType="separate"/>
      </w:r>
      <w:r>
        <w:rPr>
          <w:rStyle w:val="16"/>
          <w:rFonts w:ascii="Verdana" w:hAnsi="Verdana" w:cs="Verdana"/>
          <w:i/>
          <w:iCs/>
          <w:color w:val="437BD0"/>
          <w:sz w:val="15"/>
          <w:szCs w:val="15"/>
          <w:shd w:val="clear" w:color="auto" w:fill="FFFFFF"/>
        </w:rPr>
        <w:t>Cassazione civile, sezione terza, sentenza del 29.09.2021</w:t>
      </w:r>
      <w:r>
        <w:rPr>
          <w:rStyle w:val="16"/>
          <w:rFonts w:ascii="Verdana" w:hAnsi="Verdana" w:cs="Verdana"/>
          <w:i/>
          <w:iCs/>
          <w:color w:val="437BD0"/>
          <w:sz w:val="15"/>
          <w:szCs w:val="15"/>
          <w:shd w:val="clear" w:color="auto" w:fill="FFFFFF"/>
        </w:rPr>
        <w:fldChar w:fldCharType="end"/>
      </w:r>
      <w:r>
        <w:rPr>
          <w:rStyle w:val="9"/>
          <w:rFonts w:ascii="Verdana" w:hAnsi="Verdana" w:cs="Verdana"/>
          <w:color w:val="000000"/>
          <w:sz w:val="15"/>
          <w:szCs w:val="15"/>
          <w:shd w:val="clear" w:color="auto" w:fill="FFFFFF"/>
        </w:rPr>
        <w:t xml:space="preserve">, n. 26304, in La Nuova Procedura Civile, </w:t>
      </w:r>
      <w:r>
        <w:rPr>
          <w:rStyle w:val="9"/>
          <w:rFonts w:ascii="Verdana" w:hAnsi="Verdana" w:cs="Verdana"/>
          <w:i w:val="0"/>
          <w:iCs w:val="0"/>
          <w:color w:val="000000"/>
          <w:sz w:val="15"/>
          <w:szCs w:val="15"/>
          <w:shd w:val="clear" w:color="auto" w:fill="FFFFFF"/>
        </w:rPr>
        <w:t xml:space="preserve">3, 2021, il </w:t>
      </w:r>
      <w:r>
        <w:rPr>
          <w:rStyle w:val="9"/>
          <w:rFonts w:ascii="Verdana" w:hAnsi="Verdana" w:cs="Verdana"/>
          <w:color w:val="000000"/>
          <w:sz w:val="15"/>
          <w:szCs w:val="15"/>
          <w:shd w:val="clear" w:color="auto" w:fill="FFFFFF"/>
        </w:rPr>
        <w:t>criterio del “più probabile che non” è suscettibile di essere utilizzato (come modello di ricostruzione dei fatti nell’ambito della responsabilità civile) unicamente con riguardo all’indagine sul nesso di causalità (ossia con riguardo all’indagine sullo statuto epistemologico di un determinato rapporto tra fatti o eventi), là dove, con riferimento a ogni altra indagine sulla valutazione dell’idoneità rappresentativa di un determinato compendio probatorio (e quindi anche con riguardo all’indagine sulla diligenza di un determinato comportamento umano),</w:t>
      </w:r>
      <w:r>
        <w:rPr>
          <w:rStyle w:val="19"/>
          <w:rFonts w:ascii="Verdana" w:hAnsi="Verdana" w:cs="Verdana"/>
          <w:i/>
          <w:iCs/>
          <w:color w:val="000000"/>
          <w:sz w:val="15"/>
          <w:szCs w:val="15"/>
          <w:shd w:val="clear" w:color="auto" w:fill="FFFFFF"/>
        </w:rPr>
        <w:t> </w:t>
      </w:r>
      <w:r>
        <w:rPr>
          <w:rStyle w:val="19"/>
          <w:rFonts w:ascii="Verdana" w:hAnsi="Verdana" w:cs="Verdana"/>
          <w:b w:val="0"/>
          <w:bCs w:val="0"/>
          <w:i/>
          <w:iCs/>
          <w:color w:val="000000"/>
          <w:sz w:val="15"/>
          <w:szCs w:val="15"/>
          <w:shd w:val="clear" w:color="auto" w:fill="FFFFFF"/>
        </w:rPr>
        <w:t>deve ritenersi legittimamente utilizzabile la più elastica categoria dell’attendibilità” (come predicato della maggiore o minore “congruità logica” dell’inferenza critica).</w:t>
      </w:r>
    </w:p>
  </w:footnote>
  <w:footnote w:id="16">
    <w:p>
      <w:pPr>
        <w:pStyle w:val="14"/>
        <w:snapToGrid w:val="0"/>
        <w:jc w:val="both"/>
        <w:rPr>
          <w:rFonts w:ascii="Verdana" w:hAnsi="Verdana" w:cs="Verdana"/>
          <w:sz w:val="15"/>
          <w:szCs w:val="15"/>
        </w:rPr>
      </w:pPr>
      <w:r>
        <w:rPr>
          <w:rStyle w:val="13"/>
          <w:rFonts w:ascii="Verdana" w:hAnsi="Verdana" w:cs="Verdana"/>
          <w:sz w:val="15"/>
          <w:szCs w:val="15"/>
        </w:rPr>
        <w:footnoteRef/>
      </w:r>
      <w:r>
        <w:rPr>
          <w:rFonts w:ascii="Verdana" w:hAnsi="Verdana" w:cs="Verdana"/>
          <w:sz w:val="15"/>
          <w:szCs w:val="15"/>
        </w:rPr>
        <w:t xml:space="preserve"> </w:t>
      </w:r>
      <w:r>
        <w:fldChar w:fldCharType="begin"/>
      </w:r>
      <w:r>
        <w:instrText xml:space="preserve"> HYPERLINK "https://www.lanuovaproceduracivile.com/responsabilita-civile-da-inadempimento-oppure-illecito-si-allo-standard-di-certezza-probabilistica/" </w:instrText>
      </w:r>
      <w:r>
        <w:fldChar w:fldCharType="separate"/>
      </w:r>
      <w:r>
        <w:rPr>
          <w:rStyle w:val="16"/>
          <w:rFonts w:ascii="Verdana" w:hAnsi="Verdana" w:cs="Verdana"/>
          <w:sz w:val="15"/>
          <w:szCs w:val="15"/>
        </w:rPr>
        <w:t>Cassazione civile, sezione terza, sentenza del 14.03.2022, n. 8114</w:t>
      </w:r>
      <w:r>
        <w:rPr>
          <w:rStyle w:val="16"/>
          <w:rFonts w:ascii="Verdana" w:hAnsi="Verdana" w:cs="Verdana"/>
          <w:sz w:val="15"/>
          <w:szCs w:val="15"/>
        </w:rPr>
        <w:fldChar w:fldCharType="end"/>
      </w:r>
      <w:r>
        <w:rPr>
          <w:rFonts w:ascii="Verdana" w:hAnsi="Verdana" w:cs="Verdana"/>
          <w:sz w:val="15"/>
          <w:szCs w:val="15"/>
        </w:rPr>
        <w:t xml:space="preserve">, in </w:t>
      </w:r>
      <w:r>
        <w:rPr>
          <w:rFonts w:ascii="Verdana" w:hAnsi="Verdana" w:cs="Verdana"/>
          <w:i/>
          <w:iCs/>
          <w:sz w:val="15"/>
          <w:szCs w:val="15"/>
        </w:rPr>
        <w:t>La Nuova Procedura Civile</w:t>
      </w:r>
      <w:r>
        <w:rPr>
          <w:rFonts w:ascii="Verdana" w:hAnsi="Verdana" w:cs="Verdana"/>
          <w:sz w:val="15"/>
          <w:szCs w:val="15"/>
        </w:rPr>
        <w:t xml:space="preserve">, 1, 2022. In senso critivo, VIOLA, </w:t>
      </w:r>
      <w:r>
        <w:fldChar w:fldCharType="begin"/>
      </w:r>
      <w:r>
        <w:instrText xml:space="preserve"> HYPERLINK "https://www.lanuovaproceduracivile.com/viola-responsabilita-civile-riflessioni-critiche-in-tema-di-certezza-probabilistica-probabilita-baconiana-e-causalita-materiale-presa-a-prestito-dal-diritto-penale/" </w:instrText>
      </w:r>
      <w:r>
        <w:fldChar w:fldCharType="separate"/>
      </w:r>
      <w:r>
        <w:rPr>
          <w:rStyle w:val="16"/>
          <w:rFonts w:ascii="Verdana" w:hAnsi="Verdana" w:cs="Verdana"/>
          <w:i/>
          <w:iCs/>
          <w:sz w:val="15"/>
          <w:szCs w:val="15"/>
        </w:rPr>
        <w:t>Responsabilità civile: riflessioni critiche in tema di certezza probabilistica, probabilità baconiana e causalità materiale presa a prestito dal diritto penale</w:t>
      </w:r>
      <w:r>
        <w:rPr>
          <w:rStyle w:val="16"/>
          <w:rFonts w:ascii="Verdana" w:hAnsi="Verdana" w:cs="Verdana"/>
          <w:i/>
          <w:iCs/>
          <w:sz w:val="15"/>
          <w:szCs w:val="15"/>
        </w:rPr>
        <w:fldChar w:fldCharType="end"/>
      </w:r>
      <w:r>
        <w:rPr>
          <w:rFonts w:ascii="Verdana" w:hAnsi="Verdana" w:cs="Verdana"/>
          <w:sz w:val="15"/>
          <w:szCs w:val="15"/>
        </w:rPr>
        <w:t xml:space="preserve">, in </w:t>
      </w:r>
      <w:r>
        <w:rPr>
          <w:rFonts w:ascii="Verdana" w:hAnsi="Verdana" w:cs="Verdana"/>
          <w:i/>
          <w:iCs/>
          <w:sz w:val="15"/>
          <w:szCs w:val="15"/>
        </w:rPr>
        <w:t>La Nuova Procedura Civile,</w:t>
      </w:r>
      <w:r>
        <w:rPr>
          <w:rFonts w:ascii="Verdana" w:hAnsi="Verdana" w:cs="Verdana"/>
          <w:sz w:val="15"/>
          <w:szCs w:val="15"/>
        </w:rPr>
        <w:t xml:space="preserve"> 2, 2022.</w:t>
      </w:r>
    </w:p>
  </w:footnote>
  <w:footnote w:id="17">
    <w:p>
      <w:pPr>
        <w:pStyle w:val="14"/>
        <w:jc w:val="both"/>
        <w:rPr>
          <w:rFonts w:ascii="Verdana" w:hAnsi="Verdana" w:cs="Verdana"/>
          <w:sz w:val="15"/>
          <w:szCs w:val="15"/>
          <w:lang w:val="en-US"/>
        </w:rPr>
      </w:pPr>
      <w:r>
        <w:rPr>
          <w:rStyle w:val="13"/>
          <w:rFonts w:ascii="Verdana" w:hAnsi="Verdana" w:cs="Verdana"/>
          <w:sz w:val="15"/>
          <w:szCs w:val="15"/>
        </w:rPr>
        <w:footnoteRef/>
      </w:r>
      <w:r>
        <w:rPr>
          <w:rFonts w:ascii="Verdana" w:hAnsi="Verdana" w:cs="Verdana"/>
          <w:sz w:val="15"/>
          <w:szCs w:val="15"/>
          <w:lang w:val="en-US"/>
        </w:rPr>
        <w:t xml:space="preserve"> Nel sistema anglosassone, lo </w:t>
      </w:r>
      <w:r>
        <w:rPr>
          <w:rFonts w:ascii="Verdana" w:hAnsi="Verdana" w:cs="Verdana"/>
          <w:i/>
          <w:iCs/>
          <w:sz w:val="15"/>
          <w:szCs w:val="15"/>
          <w:lang w:val="en-US"/>
        </w:rPr>
        <w:t>standard probatorio</w:t>
      </w:r>
      <w:r>
        <w:rPr>
          <w:rFonts w:ascii="Verdana" w:hAnsi="Verdana" w:cs="Verdana"/>
          <w:sz w:val="15"/>
          <w:szCs w:val="15"/>
          <w:lang w:val="en-US"/>
        </w:rPr>
        <w:t xml:space="preserve"> civile segue pacificamente il criterio del </w:t>
      </w:r>
      <w:r>
        <w:rPr>
          <w:rFonts w:ascii="Verdana" w:hAnsi="Verdana" w:cs="Verdana"/>
          <w:i/>
          <w:iCs/>
          <w:sz w:val="15"/>
          <w:szCs w:val="15"/>
          <w:lang w:val="en-US"/>
        </w:rPr>
        <w:t>balance of probabilities</w:t>
      </w:r>
      <w:r>
        <w:rPr>
          <w:rFonts w:ascii="Verdana" w:hAnsi="Verdana" w:cs="Verdana"/>
          <w:sz w:val="15"/>
          <w:szCs w:val="15"/>
          <w:lang w:val="en-US"/>
        </w:rPr>
        <w:t>; si legge in MACGREGOR-PEACEY-RIDSDALE</w:t>
      </w:r>
      <w:r>
        <w:rPr>
          <w:rFonts w:ascii="Verdana" w:hAnsi="Verdana" w:cs="Verdana"/>
          <w:i/>
          <w:iCs/>
          <w:sz w:val="15"/>
          <w:szCs w:val="15"/>
          <w:lang w:val="en-US"/>
        </w:rPr>
        <w:t>, Civil litigation</w:t>
      </w:r>
      <w:r>
        <w:rPr>
          <w:rFonts w:ascii="Verdana" w:hAnsi="Verdana" w:cs="Verdana"/>
          <w:sz w:val="15"/>
          <w:szCs w:val="15"/>
          <w:lang w:val="en-US"/>
        </w:rPr>
        <w:t>, Oxford, 2020, che “</w:t>
      </w:r>
      <w:r>
        <w:rPr>
          <w:rFonts w:ascii="Verdana" w:hAnsi="Verdana" w:cs="Verdana"/>
          <w:i/>
          <w:iCs/>
          <w:sz w:val="15"/>
          <w:szCs w:val="15"/>
          <w:lang w:val="en-US"/>
        </w:rPr>
        <w:t xml:space="preserve">in terms of the standard of proof, the party with the burden of proof has to prove his clain on a balance of probabilities. Taking the example of the rta again, the claimant, when proving his case against the defendant, will need to persuade the judge at trial taht it was more likely than non that the defendant drove negligently”. </w:t>
      </w:r>
      <w:r>
        <w:rPr>
          <w:rFonts w:ascii="Verdana" w:hAnsi="Verdana" w:cs="Verdana"/>
          <w:sz w:val="15"/>
          <w:szCs w:val="15"/>
          <w:lang w:val="en-US"/>
        </w:rPr>
        <w:t xml:space="preserve">Invero il sistema probatorio anglosassone costruisce proprio le prove, come base del convicimento del giudice, in base ad un’impostazione statistica; si legge nel caso </w:t>
      </w:r>
      <w:r>
        <w:rPr>
          <w:rFonts w:ascii="Verdana" w:hAnsi="Verdana" w:cs="Verdana"/>
          <w:i/>
          <w:iCs/>
          <w:sz w:val="15"/>
          <w:szCs w:val="15"/>
          <w:lang w:val="en-US"/>
        </w:rPr>
        <w:t>In re H (Minors) [1996] AC 563 at 586 “The balance of probability standard means that a court is satisfied an event occurred if the court considers that, on the evidence, the occurrence of the event was more likely than not. When assessing the probabilities the court will have in mind as a factor, to whatever extent is appropriate in the particular case, that the more serious the allegation the less likely it is that the event occurred and, hence, the stronger should be the evidence before the court concludes that the allegation is established on the balance of probability. Fraud is usually less likely than negligence. Deliberate physical injury is usually less likely than accidental physical injury. A stepfather is usually less likely to have repeatedly raped and had non-consensual oral sex with his under age stepdaughter than on some occasion to have lost his temper and slapped her. Built into the preponderance of probability standard is a generous degree of flexibility in respect of the seriousness of the allegation. Although the result is much the same, this does not mean that where a serious allegation is in issue the standard of proof required is higher. It means only that the inherent probability or improbability of an event is itself a matter to be taken into account when weighing the probabilities and deciding whether, on balance, the event occurred. The more improbable the event, the stronger must be the evidence that it did occur before, on the balance of probability, its occurrence will be established”.</w:t>
      </w:r>
    </w:p>
  </w:footnote>
  <w:footnote w:id="18">
    <w:p>
      <w:pPr>
        <w:pStyle w:val="14"/>
        <w:snapToGrid w:val="0"/>
        <w:jc w:val="both"/>
        <w:rPr>
          <w:rFonts w:ascii="Verdana" w:hAnsi="Verdana" w:cs="Verdana"/>
          <w:i/>
          <w:iCs/>
          <w:sz w:val="15"/>
          <w:szCs w:val="15"/>
        </w:rPr>
      </w:pPr>
      <w:r>
        <w:rPr>
          <w:rStyle w:val="13"/>
          <w:rFonts w:ascii="Verdana" w:hAnsi="Verdana" w:cs="Verdana"/>
          <w:sz w:val="15"/>
          <w:szCs w:val="15"/>
        </w:rPr>
        <w:footnoteRef/>
      </w:r>
      <w:r>
        <w:rPr>
          <w:rFonts w:ascii="Verdana" w:hAnsi="Verdana" w:cs="Verdana"/>
          <w:sz w:val="15"/>
          <w:szCs w:val="15"/>
        </w:rPr>
        <w:t xml:space="preserve"> In questa direzione, si esprime anche POLI, </w:t>
      </w:r>
      <w:r>
        <w:rPr>
          <w:rFonts w:ascii="Verdana" w:hAnsi="Verdana" w:cs="Verdana"/>
          <w:i/>
          <w:iCs/>
          <w:sz w:val="15"/>
          <w:szCs w:val="15"/>
        </w:rPr>
        <w:t>Gli standard di prova in Italia,</w:t>
      </w:r>
      <w:r>
        <w:rPr>
          <w:rFonts w:ascii="Verdana" w:hAnsi="Verdana" w:cs="Verdana"/>
          <w:sz w:val="15"/>
          <w:szCs w:val="15"/>
        </w:rPr>
        <w:t xml:space="preserve"> in </w:t>
      </w:r>
      <w:r>
        <w:rPr>
          <w:rFonts w:ascii="Verdana" w:hAnsi="Verdana" w:cs="Verdana"/>
          <w:i/>
          <w:iCs/>
          <w:sz w:val="15"/>
          <w:szCs w:val="15"/>
        </w:rPr>
        <w:t>Giur. It</w:t>
      </w:r>
      <w:r>
        <w:rPr>
          <w:rFonts w:ascii="Verdana" w:hAnsi="Verdana" w:cs="Verdana"/>
          <w:sz w:val="15"/>
          <w:szCs w:val="15"/>
        </w:rPr>
        <w:t xml:space="preserve">., 2018, 11, 2516. Indirettamente, la recentissima giurisprudenza (Cassazione civile, sezione prima, ordinanza del 14.12.2022, n. 36554) sembra avallare la tesi del </w:t>
      </w:r>
      <w:r>
        <w:rPr>
          <w:rFonts w:ascii="Verdana" w:hAnsi="Verdana" w:cs="Verdana"/>
          <w:i/>
          <w:iCs/>
          <w:sz w:val="15"/>
          <w:szCs w:val="15"/>
        </w:rPr>
        <w:t>più probabile che non</w:t>
      </w:r>
      <w:r>
        <w:rPr>
          <w:rFonts w:ascii="Verdana" w:hAnsi="Verdana" w:cs="Verdana"/>
          <w:sz w:val="15"/>
          <w:szCs w:val="15"/>
        </w:rPr>
        <w:t xml:space="preserve"> come presunzione, laddove recita testualmente che “ </w:t>
      </w:r>
      <w:r>
        <w:rPr>
          <w:rFonts w:ascii="Verdana" w:hAnsi="Verdana"/>
          <w:i/>
          <w:iCs/>
          <w:sz w:val="15"/>
          <w:szCs w:val="15"/>
        </w:rPr>
        <w:t>dovendo fare corretta applicazione dei principi generali in tema di nesso di causalità in ambito civile (per i quali l'affermazione della sua sussistenza ben può essere basata su una prova che lo renda probabile, a nulla rilevando che tale prova non sia idonea a garantire un’assoluta certezza al di là di ogni ragionevole dubbio...), si è affermato che la prova del nesso di causalità tra l'inadempimento dell'intermediario finanziario e i danni lamentati dall'investitore può essere anche presunta”.</w:t>
      </w:r>
    </w:p>
  </w:footnote>
  <w:footnote w:id="19">
    <w:p>
      <w:pPr>
        <w:pStyle w:val="14"/>
        <w:snapToGrid w:val="0"/>
        <w:jc w:val="both"/>
        <w:rPr>
          <w:rFonts w:ascii="Verdana" w:hAnsi="Verdana" w:cs="Verdana"/>
          <w:sz w:val="15"/>
          <w:szCs w:val="15"/>
        </w:rPr>
      </w:pPr>
      <w:r>
        <w:rPr>
          <w:rStyle w:val="13"/>
          <w:rFonts w:ascii="Verdana" w:hAnsi="Verdana" w:cs="Verdana"/>
          <w:sz w:val="15"/>
          <w:szCs w:val="15"/>
        </w:rPr>
        <w:footnoteRef/>
      </w:r>
      <w:r>
        <w:rPr>
          <w:rFonts w:ascii="Verdana" w:hAnsi="Verdana" w:cs="Verdana"/>
          <w:sz w:val="15"/>
          <w:szCs w:val="15"/>
        </w:rPr>
        <w:t xml:space="preserve"> Si legge in</w:t>
      </w:r>
      <w:r>
        <w:fldChar w:fldCharType="begin"/>
      </w:r>
      <w:r>
        <w:instrText xml:space="preserve"> HYPERLINK "https://www.lanuovaproceduracivile.com/le-presunzioni-semplici-esigono-la-certezza-dei-fatti-posti-a-fondamento-di-un-fatto-e-ben-possibile-esigere-la-certezza-ai-fini-della-sua-utilizzabilita-quale-tesi-di-un-argomentare-sillogistico/" </w:instrText>
      </w:r>
      <w:r>
        <w:fldChar w:fldCharType="separate"/>
      </w:r>
      <w:r>
        <w:rPr>
          <w:rStyle w:val="16"/>
          <w:rFonts w:ascii="Verdana" w:hAnsi="Verdana" w:cs="Verdana"/>
          <w:sz w:val="15"/>
          <w:szCs w:val="15"/>
        </w:rPr>
        <w:t xml:space="preserve"> Cassazione civile, sezione terza, sentenza del 10-10-2018, n. 24974</w:t>
      </w:r>
      <w:r>
        <w:rPr>
          <w:rStyle w:val="16"/>
          <w:rFonts w:ascii="Verdana" w:hAnsi="Verdana" w:cs="Verdana"/>
          <w:sz w:val="15"/>
          <w:szCs w:val="15"/>
        </w:rPr>
        <w:fldChar w:fldCharType="end"/>
      </w:r>
      <w:r>
        <w:rPr>
          <w:rFonts w:ascii="Verdana" w:hAnsi="Verdana" w:cs="Verdana"/>
          <w:sz w:val="15"/>
          <w:szCs w:val="15"/>
        </w:rPr>
        <w:t xml:space="preserve">, in </w:t>
      </w:r>
      <w:r>
        <w:rPr>
          <w:rFonts w:ascii="Verdana" w:hAnsi="Verdana" w:cs="Verdana"/>
          <w:i/>
          <w:iCs/>
          <w:sz w:val="15"/>
          <w:szCs w:val="15"/>
        </w:rPr>
        <w:t>La Nuova Procedura Civile,</w:t>
      </w:r>
      <w:r>
        <w:rPr>
          <w:rFonts w:ascii="Verdana" w:hAnsi="Verdana" w:cs="Verdana"/>
          <w:sz w:val="15"/>
          <w:szCs w:val="15"/>
        </w:rPr>
        <w:t xml:space="preserve"> 2, 2022, che l</w:t>
      </w:r>
      <w:r>
        <w:rPr>
          <w:rFonts w:ascii="Verdana" w:hAnsi="Verdana" w:cs="Verdana"/>
          <w:i/>
          <w:iCs/>
          <w:sz w:val="15"/>
          <w:szCs w:val="15"/>
        </w:rPr>
        <w:t>a “presunzione” è il procedimento logico-deduttivo col quale il giudice raggiunge la prova del fatto ignorato, mentre l’indizio” di cui all’art. 2729 c.c. è il “fatto noto” dal quale prende le mosse il ragionamento deduttivo: l’art. 2729 c.c., là dove stabilisce che il giudice non possa ammettere se non presunzioni “gravi, precise e concordanti”, va, quindi, letto nel senso che tali requisiti devono essere posseduti dai fatti noti e certi posti a fondamento della prova presuntiva; di una presunzione, in quanto deduzione logica, non si può, dunque, esigere che sia “grave, precisa e concordante”, perchè essa è una valutazione, ed una valutazione deve essere probabilmente convincente, non oggettivamente inconfutabile; di un fatto, invece, è ben possibile esigere la certezza, ai fini della sua utilizzabilità quale tesi di un argomentare sillogistico, giacchè di un fatto concreto si può predicare la sua oggettività o meno, ma non la sua “logicità”; ciò vuoi dire, in sintesi, che l’art. 2729 c.c. esige la certezza dei fatti posti a fondamento della prova presuntiva, e la logicità della deduzione con la quale il giudice ricava la seconda dai primi</w:t>
      </w:r>
      <w:r>
        <w:rPr>
          <w:rFonts w:ascii="Verdana" w:hAnsi="Verdana" w:cs="Verdana"/>
          <w:sz w:val="15"/>
          <w:szCs w:val="15"/>
        </w:rPr>
        <w:t>.</w:t>
      </w:r>
    </w:p>
  </w:footnote>
  <w:footnote w:id="20">
    <w:p>
      <w:pPr>
        <w:pStyle w:val="14"/>
        <w:snapToGrid w:val="0"/>
        <w:jc w:val="both"/>
        <w:rPr>
          <w:rFonts w:ascii="Verdana" w:hAnsi="Verdana" w:cs="Verdana"/>
          <w:sz w:val="15"/>
          <w:szCs w:val="15"/>
        </w:rPr>
      </w:pPr>
      <w:r>
        <w:rPr>
          <w:rStyle w:val="13"/>
          <w:rFonts w:ascii="Verdana" w:hAnsi="Verdana" w:cs="Verdana"/>
          <w:sz w:val="15"/>
          <w:szCs w:val="15"/>
        </w:rPr>
        <w:footnoteRef/>
      </w:r>
      <w:r>
        <w:rPr>
          <w:rFonts w:ascii="Verdana" w:hAnsi="Verdana" w:cs="Verdana"/>
          <w:sz w:val="15"/>
          <w:szCs w:val="15"/>
        </w:rPr>
        <w:t xml:space="preserve"> Precisa  </w:t>
      </w:r>
      <w:r>
        <w:fldChar w:fldCharType="begin"/>
      </w:r>
      <w:r>
        <w:instrText xml:space="preserve"> HYPERLINK "https://www.lanuovaproceduracivile.com/presunzioni-semplici-inferenza-probatoria-e-divieto-di-praesumptio-de-praesumpto/" </w:instrText>
      </w:r>
      <w:r>
        <w:fldChar w:fldCharType="separate"/>
      </w:r>
      <w:r>
        <w:rPr>
          <w:rStyle w:val="16"/>
          <w:rFonts w:ascii="Verdana" w:hAnsi="Verdana" w:cs="Verdana"/>
          <w:sz w:val="15"/>
          <w:szCs w:val="15"/>
        </w:rPr>
        <w:t>Tribunale Milano, sezione seconda, sentenza del 11.02.2021</w:t>
      </w:r>
      <w:r>
        <w:rPr>
          <w:rStyle w:val="16"/>
          <w:rFonts w:ascii="Verdana" w:hAnsi="Verdana" w:cs="Verdana"/>
          <w:sz w:val="15"/>
          <w:szCs w:val="15"/>
        </w:rPr>
        <w:fldChar w:fldCharType="end"/>
      </w:r>
      <w:r>
        <w:rPr>
          <w:rFonts w:ascii="Verdana" w:hAnsi="Verdana" w:cs="Verdana"/>
          <w:sz w:val="15"/>
          <w:szCs w:val="15"/>
        </w:rPr>
        <w:t xml:space="preserve">, in </w:t>
      </w:r>
      <w:r>
        <w:rPr>
          <w:rFonts w:ascii="Verdana" w:hAnsi="Verdana" w:cs="Verdana"/>
          <w:i/>
          <w:iCs/>
          <w:sz w:val="15"/>
          <w:szCs w:val="15"/>
        </w:rPr>
        <w:t>La Nuova procedura Civile</w:t>
      </w:r>
      <w:r>
        <w:rPr>
          <w:rFonts w:ascii="Verdana" w:hAnsi="Verdana" w:cs="Verdana"/>
          <w:sz w:val="15"/>
          <w:szCs w:val="15"/>
        </w:rPr>
        <w:t xml:space="preserve">, 3, 2021, che  </w:t>
      </w:r>
      <w:r>
        <w:rPr>
          <w:rFonts w:ascii="Verdana" w:hAnsi="Verdana" w:cs="Verdana"/>
          <w:i/>
          <w:iCs/>
          <w:sz w:val="15"/>
          <w:szCs w:val="15"/>
        </w:rPr>
        <w:t>le presunzioni semplici costituiscono uno strumento conoscitivo in sede di accertamento dei fatti controversi, di natura critica, in quanto si basa su un’operazione logica di tipo induttivo compiuta dal giudice mediante la quale quest’ultimo deriva la conoscenza di un fatto ignorato da un fatto noto. Poiché la base di un ragionamento presuntivo è un fatto noto, quest’ultimo deve rivestire i caratteri della certezza e della concretezza in quanto appunto fatto pacifico tra le parti o accertato in giudizio: ne consegue che il Giudice non è ammesso a trarre un fatto ignoto da un altro fatto a sua volta ignoto e come tale esso stesso presunto.</w:t>
      </w:r>
    </w:p>
  </w:footnote>
  <w:footnote w:id="21">
    <w:p>
      <w:pPr>
        <w:pStyle w:val="14"/>
        <w:snapToGrid w:val="0"/>
        <w:rPr>
          <w:rFonts w:ascii="Verdana" w:hAnsi="Verdana" w:cs="Verdana"/>
          <w:sz w:val="15"/>
          <w:szCs w:val="15"/>
        </w:rPr>
      </w:pPr>
      <w:r>
        <w:rPr>
          <w:rStyle w:val="13"/>
          <w:rFonts w:ascii="Verdana" w:hAnsi="Verdana" w:cs="Verdana"/>
          <w:sz w:val="15"/>
          <w:szCs w:val="15"/>
        </w:rPr>
        <w:footnoteRef/>
      </w:r>
      <w:r>
        <w:rPr>
          <w:rFonts w:ascii="Verdana" w:hAnsi="Verdana" w:cs="Verdana"/>
          <w:sz w:val="15"/>
          <w:szCs w:val="15"/>
        </w:rPr>
        <w:t xml:space="preserve"> Si aggiunga che:</w:t>
      </w:r>
    </w:p>
    <w:p>
      <w:pPr>
        <w:pStyle w:val="14"/>
        <w:numPr>
          <w:ilvl w:val="0"/>
          <w:numId w:val="1"/>
        </w:numPr>
        <w:snapToGrid w:val="0"/>
        <w:jc w:val="both"/>
        <w:rPr>
          <w:rFonts w:ascii="Verdana" w:hAnsi="Verdana" w:cs="Verdana"/>
          <w:sz w:val="15"/>
          <w:szCs w:val="15"/>
        </w:rPr>
      </w:pPr>
      <w:r>
        <w:rPr>
          <w:rFonts w:ascii="Verdana" w:hAnsi="Verdana" w:cs="Verdana"/>
          <w:sz w:val="15"/>
          <w:szCs w:val="15"/>
        </w:rPr>
        <w:t xml:space="preserve">se il </w:t>
      </w:r>
      <w:r>
        <w:rPr>
          <w:rFonts w:ascii="Verdana" w:hAnsi="Verdana" w:cs="Verdana"/>
          <w:i/>
          <w:iCs/>
          <w:sz w:val="15"/>
          <w:szCs w:val="15"/>
        </w:rPr>
        <w:t>più probabile che non</w:t>
      </w:r>
      <w:r>
        <w:rPr>
          <w:rFonts w:ascii="Verdana" w:hAnsi="Verdana" w:cs="Verdana"/>
          <w:sz w:val="15"/>
          <w:szCs w:val="15"/>
        </w:rPr>
        <w:t xml:space="preserve"> è una presunzione semplice;</w:t>
      </w:r>
    </w:p>
    <w:p>
      <w:pPr>
        <w:pStyle w:val="14"/>
        <w:numPr>
          <w:ilvl w:val="0"/>
          <w:numId w:val="1"/>
        </w:numPr>
        <w:snapToGrid w:val="0"/>
        <w:ind w:left="0" w:firstLine="0"/>
        <w:jc w:val="both"/>
        <w:rPr>
          <w:rFonts w:ascii="Verdana" w:hAnsi="Verdana" w:cs="Verdana"/>
          <w:sz w:val="15"/>
          <w:szCs w:val="15"/>
        </w:rPr>
      </w:pPr>
      <w:r>
        <w:rPr>
          <w:rFonts w:ascii="Verdana" w:hAnsi="Verdana" w:cs="Verdana"/>
          <w:sz w:val="15"/>
          <w:szCs w:val="15"/>
        </w:rPr>
        <w:t>la presunzione semplice può derivare solo da un fatto noto;</w:t>
      </w:r>
    </w:p>
    <w:p>
      <w:pPr>
        <w:pStyle w:val="14"/>
        <w:numPr>
          <w:ilvl w:val="0"/>
          <w:numId w:val="1"/>
        </w:numPr>
        <w:snapToGrid w:val="0"/>
        <w:ind w:left="0" w:firstLine="0"/>
        <w:jc w:val="both"/>
        <w:rPr>
          <w:rFonts w:ascii="Verdana" w:hAnsi="Verdana" w:cs="Verdana"/>
          <w:sz w:val="15"/>
          <w:szCs w:val="15"/>
        </w:rPr>
      </w:pPr>
      <w:r>
        <w:rPr>
          <w:rFonts w:ascii="Verdana" w:hAnsi="Verdana" w:cs="Verdana"/>
          <w:sz w:val="15"/>
          <w:szCs w:val="15"/>
        </w:rPr>
        <w:t xml:space="preserve">allora ne segue che il </w:t>
      </w:r>
      <w:r>
        <w:rPr>
          <w:rFonts w:ascii="Verdana" w:hAnsi="Verdana" w:cs="Verdana"/>
          <w:i/>
          <w:iCs/>
          <w:sz w:val="15"/>
          <w:szCs w:val="15"/>
        </w:rPr>
        <w:t>più probabile che non</w:t>
      </w:r>
      <w:r>
        <w:rPr>
          <w:rFonts w:ascii="Verdana" w:hAnsi="Verdana" w:cs="Verdana"/>
          <w:sz w:val="15"/>
          <w:szCs w:val="15"/>
        </w:rPr>
        <w:t xml:space="preserve"> può derivare solo da un fatto noto, con l’ulteriore conseguenza di non poterne ammettere un’applicazione generalizzata come </w:t>
      </w:r>
      <w:r>
        <w:rPr>
          <w:rFonts w:ascii="Verdana" w:hAnsi="Verdana" w:cs="Verdana"/>
          <w:i/>
          <w:iCs/>
          <w:sz w:val="15"/>
          <w:szCs w:val="15"/>
        </w:rPr>
        <w:t xml:space="preserve">standard </w:t>
      </w:r>
      <w:r>
        <w:rPr>
          <w:rFonts w:ascii="Verdana" w:hAnsi="Verdana" w:cs="Verdana"/>
          <w:sz w:val="15"/>
          <w:szCs w:val="15"/>
        </w:rPr>
        <w:t xml:space="preserve">probatorio per tutti gli elementi costitutivi, in quanto si risolverebbe in una </w:t>
      </w:r>
      <w:r>
        <w:rPr>
          <w:rFonts w:ascii="Verdana" w:hAnsi="Verdana" w:cs="Verdana"/>
          <w:i/>
          <w:iCs/>
          <w:sz w:val="15"/>
          <w:szCs w:val="15"/>
        </w:rPr>
        <w:t>praesumptio de praesumpto.</w:t>
      </w:r>
    </w:p>
  </w:footnote>
  <w:footnote w:id="22">
    <w:p>
      <w:pPr>
        <w:pStyle w:val="14"/>
        <w:snapToGrid w:val="0"/>
        <w:jc w:val="both"/>
        <w:rPr>
          <w:rFonts w:ascii="Verdana" w:hAnsi="Verdana" w:cs="Verdana"/>
          <w:sz w:val="15"/>
          <w:szCs w:val="15"/>
        </w:rPr>
      </w:pPr>
      <w:r>
        <w:rPr>
          <w:rStyle w:val="13"/>
          <w:rFonts w:ascii="Verdana" w:hAnsi="Verdana" w:cs="Verdana"/>
          <w:sz w:val="15"/>
          <w:szCs w:val="15"/>
        </w:rPr>
        <w:footnoteRef/>
      </w:r>
      <w:r>
        <w:rPr>
          <w:rFonts w:ascii="Verdana" w:hAnsi="Verdana" w:cs="Verdana"/>
          <w:sz w:val="15"/>
          <w:szCs w:val="15"/>
        </w:rPr>
        <w:t xml:space="preserve"> Si precisa che le presunzioni semplici dotate di gravità-precisione-concordanza sono solo ammesse in base a tale criterio, ma poi devono ciononostante essere ponderate in base al prudente apprezzamento; ciò in ragione degli incisi “</w:t>
      </w:r>
      <w:r>
        <w:rPr>
          <w:rFonts w:ascii="Verdana" w:hAnsi="Verdana" w:cs="Verdana"/>
          <w:i/>
          <w:iCs/>
          <w:sz w:val="15"/>
          <w:szCs w:val="15"/>
        </w:rPr>
        <w:t>lasciate alla prudenza del giudicie</w:t>
      </w:r>
      <w:r>
        <w:rPr>
          <w:rFonts w:ascii="Verdana" w:hAnsi="Verdana" w:cs="Verdana"/>
          <w:sz w:val="15"/>
          <w:szCs w:val="15"/>
        </w:rPr>
        <w:t>” e “</w:t>
      </w:r>
      <w:r>
        <w:rPr>
          <w:rFonts w:ascii="Verdana" w:hAnsi="Verdana" w:cs="Verdana"/>
          <w:i/>
          <w:iCs/>
          <w:sz w:val="15"/>
          <w:szCs w:val="15"/>
        </w:rPr>
        <w:t>ammettere che presunzioni gravi, precise e concordanti</w:t>
      </w:r>
      <w:r>
        <w:rPr>
          <w:rFonts w:ascii="Verdana" w:hAnsi="Verdana" w:cs="Verdana"/>
          <w:sz w:val="15"/>
          <w:szCs w:val="15"/>
        </w:rPr>
        <w:t>” di cui all’art. 2729 c.c.</w:t>
      </w:r>
    </w:p>
    <w:p>
      <w:pPr>
        <w:pStyle w:val="14"/>
        <w:snapToGrid w:val="0"/>
        <w:jc w:val="both"/>
        <w:rPr>
          <w:rFonts w:ascii="Verdana" w:hAnsi="Verdana" w:cs="Verdana"/>
          <w:sz w:val="15"/>
          <w:szCs w:val="15"/>
        </w:rPr>
      </w:pPr>
      <w:r>
        <w:rPr>
          <w:rFonts w:ascii="Verdana" w:hAnsi="Verdana" w:cs="Verdana"/>
          <w:sz w:val="15"/>
          <w:szCs w:val="15"/>
        </w:rPr>
        <w:t xml:space="preserve">Per </w:t>
      </w:r>
      <w:r>
        <w:fldChar w:fldCharType="begin"/>
      </w:r>
      <w:r>
        <w:instrText xml:space="preserve"> HYPERLINK "https://www.lanuovaproceduracivile.com/presunzioni-gravi-precise-e-concordanti-vuol-dire-questo/" </w:instrText>
      </w:r>
      <w:r>
        <w:fldChar w:fldCharType="separate"/>
      </w:r>
      <w:r>
        <w:rPr>
          <w:rStyle w:val="16"/>
          <w:rFonts w:ascii="Verdana" w:hAnsi="Verdana" w:cs="Verdana"/>
          <w:sz w:val="15"/>
          <w:szCs w:val="15"/>
        </w:rPr>
        <w:t>Cassazione civile, sezione seconda, ordinanza del 21.03.2022, n. 9054</w:t>
      </w:r>
      <w:r>
        <w:rPr>
          <w:rStyle w:val="16"/>
          <w:rFonts w:ascii="Verdana" w:hAnsi="Verdana" w:cs="Verdana"/>
          <w:sz w:val="15"/>
          <w:szCs w:val="15"/>
        </w:rPr>
        <w:fldChar w:fldCharType="end"/>
      </w:r>
      <w:r>
        <w:rPr>
          <w:rFonts w:ascii="Verdana" w:hAnsi="Verdana" w:cs="Verdana"/>
          <w:sz w:val="15"/>
          <w:szCs w:val="15"/>
        </w:rPr>
        <w:t xml:space="preserve">, in </w:t>
      </w:r>
      <w:r>
        <w:rPr>
          <w:rFonts w:ascii="Verdana" w:hAnsi="Verdana" w:cs="Verdana"/>
          <w:i/>
          <w:iCs/>
          <w:sz w:val="15"/>
          <w:szCs w:val="15"/>
        </w:rPr>
        <w:t>La Nuova Procedura Civile</w:t>
      </w:r>
      <w:r>
        <w:rPr>
          <w:rFonts w:ascii="Verdana" w:hAnsi="Verdana" w:cs="Verdana"/>
          <w:sz w:val="15"/>
          <w:szCs w:val="15"/>
        </w:rPr>
        <w:t>, 2, 2022, le presunzioni semplici, ex art. 2729 c.c., devono essere  dotate di gravità, precisione e condordanza:</w:t>
      </w:r>
    </w:p>
    <w:p>
      <w:pPr>
        <w:pStyle w:val="14"/>
        <w:snapToGrid w:val="0"/>
        <w:jc w:val="both"/>
        <w:rPr>
          <w:rFonts w:ascii="Verdana" w:hAnsi="Verdana" w:cs="Verdana"/>
          <w:i/>
          <w:iCs/>
          <w:sz w:val="15"/>
          <w:szCs w:val="15"/>
        </w:rPr>
      </w:pPr>
      <w:r>
        <w:rPr>
          <w:rFonts w:ascii="Verdana" w:hAnsi="Verdana" w:cs="Verdana"/>
          <w:i/>
          <w:iCs/>
          <w:sz w:val="15"/>
          <w:szCs w:val="15"/>
        </w:rPr>
        <w:t>-la gravità allude ad un concetto logico, generale o speciale (cioè rispondente a principi di logica in genere oppure a principi di una qualche logica particolare, per esempio di natura scientifica o propria di una qualche lex artis), che esprime nient’altro – almeno secondo l’opinione preferibile – che la presunzione si deve fondare su un ragionamento probabilistico, per cui dato un fatto A noto è probabile che si sia verificato il fatto B;</w:t>
      </w:r>
    </w:p>
    <w:p>
      <w:pPr>
        <w:pStyle w:val="14"/>
        <w:snapToGrid w:val="0"/>
        <w:jc w:val="both"/>
        <w:rPr>
          <w:rFonts w:ascii="Verdana" w:hAnsi="Verdana" w:cs="Verdana"/>
          <w:i/>
          <w:iCs/>
          <w:sz w:val="15"/>
          <w:szCs w:val="15"/>
        </w:rPr>
      </w:pPr>
      <w:r>
        <w:rPr>
          <w:rFonts w:ascii="Verdana" w:hAnsi="Verdana" w:cs="Verdana"/>
          <w:i/>
          <w:iCs/>
          <w:sz w:val="15"/>
          <w:szCs w:val="15"/>
        </w:rPr>
        <w:t>– la precisione esprime l’idea che l’inferenza probabilistica conduca alla conoscenza del fatto ignoto con un grado di probabilità che si indirizzi solo verso il fatto B e non lasci spazio, sempre al livello della probabilità, ad indirizzarsi in senso diverso, cioè anche verso un altro o altri fatti;</w:t>
      </w:r>
    </w:p>
    <w:p>
      <w:pPr>
        <w:pStyle w:val="14"/>
        <w:snapToGrid w:val="0"/>
        <w:jc w:val="both"/>
        <w:rPr>
          <w:rFonts w:ascii="Verdana" w:hAnsi="Verdana" w:cs="Verdana"/>
          <w:i/>
          <w:iCs/>
          <w:sz w:val="15"/>
          <w:szCs w:val="15"/>
        </w:rPr>
      </w:pPr>
      <w:r>
        <w:rPr>
          <w:rFonts w:ascii="Verdana" w:hAnsi="Verdana" w:cs="Verdana"/>
          <w:i/>
          <w:iCs/>
          <w:sz w:val="15"/>
          <w:szCs w:val="15"/>
        </w:rPr>
        <w:t>-la concordanza esprime un requisito del ragionamento presuntivo (cioè di una applicazione “non falsa” dell’art. 2729 c.c.), che non lo concerne in modo assoluto, cioè di per sè considerato, come invece gli altri due elementi, bensì in modo relativo, cioè nel quadro della possibile sussistenza di altri elementi probatori considerati, volendo esprimere l’idea che, in tanto la presunzione è ammissibile, in quanto indirizzi alla conoscenza del fatto in modo concordante con altri elementi probatori, che, peraltro, possono essere o meno anche altri ragionamenti presuntivi.</w:t>
      </w:r>
    </w:p>
  </w:footnote>
  <w:footnote w:id="23">
    <w:p>
      <w:pPr>
        <w:pStyle w:val="14"/>
        <w:jc w:val="both"/>
        <w:rPr>
          <w:rFonts w:ascii="Verdana" w:hAnsi="Verdana" w:cs="Verdana"/>
          <w:sz w:val="15"/>
          <w:szCs w:val="15"/>
        </w:rPr>
      </w:pPr>
      <w:r>
        <w:rPr>
          <w:rStyle w:val="13"/>
          <w:rFonts w:ascii="Verdana" w:hAnsi="Verdana" w:cs="Verdana"/>
          <w:sz w:val="15"/>
          <w:szCs w:val="15"/>
        </w:rPr>
        <w:footnoteRef/>
      </w:r>
      <w:r>
        <w:rPr>
          <w:rFonts w:ascii="Verdana" w:hAnsi="Verdana" w:cs="Verdana"/>
          <w:sz w:val="15"/>
          <w:szCs w:val="15"/>
        </w:rPr>
        <w:t xml:space="preserve"> Rileva MINARDI che: </w:t>
      </w:r>
      <w:r>
        <w:rPr>
          <w:rFonts w:ascii="Verdana" w:hAnsi="Verdana" w:cs="Verdana"/>
          <w:i/>
          <w:sz w:val="15"/>
          <w:szCs w:val="15"/>
        </w:rPr>
        <w:t>se le presunzioni semplici devono essere gravi-precise-concordanti per essere ammesse ex art.2729 c.c., allora a fortiori anche le prove dovrebbero esserlo, con il corollario che la soglia del più probabile che non ovvero P (E) &gt; 50% sarebbe davvero insufficiente per ritenere provato un fatto</w:t>
      </w:r>
      <w:r>
        <w:rPr>
          <w:rFonts w:ascii="Verdana" w:hAnsi="Verdana" w:cs="Verdana"/>
          <w:sz w:val="15"/>
          <w:szCs w:val="15"/>
        </w:rPr>
        <w:t xml:space="preserve">; più chiaramente: anche le prove dovrebbero almeno essere gravi-precise-concordanti, ma così facendo si finisce per superare molto il semplice </w:t>
      </w:r>
      <w:r>
        <w:rPr>
          <w:rFonts w:ascii="Verdana" w:hAnsi="Verdana" w:cs="Verdana"/>
          <w:i/>
          <w:sz w:val="15"/>
          <w:szCs w:val="15"/>
        </w:rPr>
        <w:t>più probabile che non;</w:t>
      </w:r>
      <w:r>
        <w:rPr>
          <w:rFonts w:ascii="Verdana" w:hAnsi="Verdana" w:cs="Verdana"/>
          <w:sz w:val="15"/>
          <w:szCs w:val="15"/>
        </w:rPr>
        <w:t xml:space="preserve"> dunque, il legislatore richiederebbe di superare il più </w:t>
      </w:r>
      <w:r>
        <w:rPr>
          <w:rFonts w:ascii="Verdana" w:hAnsi="Verdana" w:cs="Verdana"/>
          <w:i/>
          <w:sz w:val="15"/>
          <w:szCs w:val="15"/>
        </w:rPr>
        <w:t>probabile che non</w:t>
      </w:r>
      <w:r>
        <w:rPr>
          <w:rFonts w:ascii="Verdana" w:hAnsi="Verdana" w:cs="Verdana"/>
          <w:sz w:val="15"/>
          <w:szCs w:val="15"/>
        </w:rPr>
        <w:t xml:space="preserve"> e giammai di ritenerlo sufficiente.</w:t>
      </w:r>
    </w:p>
  </w:footnote>
  <w:footnote w:id="24">
    <w:p>
      <w:pPr>
        <w:pStyle w:val="14"/>
        <w:snapToGrid w:val="0"/>
        <w:jc w:val="both"/>
        <w:rPr>
          <w:rFonts w:ascii="Verdana" w:hAnsi="Verdana" w:cs="Verdana"/>
          <w:sz w:val="15"/>
          <w:szCs w:val="15"/>
        </w:rPr>
      </w:pPr>
      <w:r>
        <w:rPr>
          <w:rStyle w:val="13"/>
          <w:rFonts w:ascii="Verdana" w:hAnsi="Verdana" w:cs="Verdana"/>
          <w:sz w:val="15"/>
          <w:szCs w:val="15"/>
        </w:rPr>
        <w:footnoteRef/>
      </w:r>
      <w:r>
        <w:rPr>
          <w:rFonts w:ascii="Verdana" w:hAnsi="Verdana" w:cs="Verdana"/>
          <w:sz w:val="15"/>
          <w:szCs w:val="15"/>
        </w:rPr>
        <w:t xml:space="preserve"> Si legge in </w:t>
      </w:r>
      <w:r>
        <w:fldChar w:fldCharType="begin"/>
      </w:r>
      <w:r>
        <w:instrText xml:space="preserve"> HYPERLINK "https://www.lanuovaproceduracivile.com/presunzioni-gravi-precise-e-concordanti-ecco-la-definizione-e-quando-si-puo-ricorrere-in-cassazione/" </w:instrText>
      </w:r>
      <w:r>
        <w:fldChar w:fldCharType="separate"/>
      </w:r>
      <w:r>
        <w:rPr>
          <w:rStyle w:val="16"/>
          <w:rFonts w:ascii="Verdana" w:hAnsi="Verdana" w:cs="Verdana"/>
          <w:sz w:val="15"/>
          <w:szCs w:val="15"/>
        </w:rPr>
        <w:t>Cassazione civile, Sezioni Unite, sentenza del 24.01.2018, n. 1785</w:t>
      </w:r>
      <w:r>
        <w:rPr>
          <w:rStyle w:val="16"/>
          <w:rFonts w:ascii="Verdana" w:hAnsi="Verdana" w:cs="Verdana"/>
          <w:sz w:val="15"/>
          <w:szCs w:val="15"/>
        </w:rPr>
        <w:fldChar w:fldCharType="end"/>
      </w:r>
      <w:r>
        <w:rPr>
          <w:rFonts w:ascii="Verdana" w:hAnsi="Verdana" w:cs="Verdana"/>
          <w:sz w:val="15"/>
          <w:szCs w:val="15"/>
        </w:rPr>
        <w:t xml:space="preserve">, in </w:t>
      </w:r>
      <w:r>
        <w:rPr>
          <w:rFonts w:ascii="Verdana" w:hAnsi="Verdana" w:cs="Verdana"/>
          <w:i/>
          <w:iCs/>
          <w:sz w:val="15"/>
          <w:szCs w:val="15"/>
        </w:rPr>
        <w:t>La Nuova Procedura Civile</w:t>
      </w:r>
      <w:r>
        <w:rPr>
          <w:rFonts w:ascii="Verdana" w:hAnsi="Verdana" w:cs="Verdana"/>
          <w:sz w:val="15"/>
          <w:szCs w:val="15"/>
        </w:rPr>
        <w:t xml:space="preserve">, 1, 2021, che  </w:t>
      </w:r>
      <w:r>
        <w:rPr>
          <w:rFonts w:ascii="Verdana" w:hAnsi="Verdana" w:cs="Verdana"/>
          <w:i/>
          <w:iCs/>
          <w:sz w:val="15"/>
          <w:szCs w:val="15"/>
        </w:rPr>
        <w:t>quando il giudice di merito sussume erroneamente sotto i tre caratteri individuatori della presunzione fatti concreti accertati che non sono invece rispondenti a quei caratteri, si deve senz’altro ritenere che il suo ragionamento sia censurabile alla stregua dell’art. 360 c.p.c., n. 3 e compete, dunque, alla Corte di cassazione controllare se la norma dell’art. 2729 c.c., oltre ad essere applicata esattamente a livello di proclamazione astratta dal giudice di merito, lo sia stata anche a livello di applicazione a fattispecie concrete che effettivamente risultino ascrivibili alla fattispecie astratta. Essa può, pertanto, essere investita ai sensi dell’art. 360 c.p.c., n. 3, dell’errore in cui il giudice di merito sia incorso nel considerare grave una presunzione (cioè un’inferenza) che non lo sia o sotto un profilo logico generale o sotto il particolare profilo logico (interno ad una certa disciplina) entro il quale essa si collochi. La stessa cosa dicasi per il controllo della precisione e per quello della concordanza.</w:t>
      </w:r>
    </w:p>
  </w:footnote>
  <w:footnote w:id="25">
    <w:p>
      <w:pPr>
        <w:pStyle w:val="14"/>
        <w:snapToGrid w:val="0"/>
        <w:rPr>
          <w:rFonts w:ascii="Verdana" w:hAnsi="Verdana" w:cs="Verdana"/>
          <w:sz w:val="15"/>
          <w:szCs w:val="15"/>
        </w:rPr>
      </w:pPr>
      <w:r>
        <w:rPr>
          <w:rStyle w:val="13"/>
          <w:rFonts w:ascii="Verdana" w:hAnsi="Verdana" w:cs="Verdana"/>
          <w:sz w:val="15"/>
          <w:szCs w:val="15"/>
        </w:rPr>
        <w:footnoteRef/>
      </w:r>
      <w:r>
        <w:rPr>
          <w:rFonts w:ascii="Verdana" w:hAnsi="Verdana" w:cs="Verdana"/>
          <w:sz w:val="15"/>
          <w:szCs w:val="15"/>
        </w:rPr>
        <w:t xml:space="preserve"> POLI, </w:t>
      </w:r>
      <w:r>
        <w:rPr>
          <w:rFonts w:ascii="Verdana" w:hAnsi="Verdana" w:cs="Verdana"/>
          <w:i/>
          <w:iCs/>
          <w:sz w:val="15"/>
          <w:szCs w:val="15"/>
        </w:rPr>
        <w:t>Gli standard di prova in Italia,</w:t>
      </w:r>
      <w:r>
        <w:rPr>
          <w:rFonts w:ascii="Verdana" w:hAnsi="Verdana" w:cs="Verdana"/>
          <w:sz w:val="15"/>
          <w:szCs w:val="15"/>
        </w:rPr>
        <w:t xml:space="preserve"> in </w:t>
      </w:r>
      <w:r>
        <w:rPr>
          <w:rFonts w:ascii="Verdana" w:hAnsi="Verdana" w:cs="Verdana"/>
          <w:i/>
          <w:iCs/>
          <w:sz w:val="15"/>
          <w:szCs w:val="15"/>
        </w:rPr>
        <w:t>Giur. It</w:t>
      </w:r>
      <w:r>
        <w:rPr>
          <w:rFonts w:ascii="Verdana" w:hAnsi="Verdana" w:cs="Verdana"/>
          <w:sz w:val="15"/>
          <w:szCs w:val="15"/>
        </w:rPr>
        <w:t>., 2018, 11, 2516.</w:t>
      </w:r>
    </w:p>
  </w:footnote>
  <w:footnote w:id="26">
    <w:p>
      <w:pPr>
        <w:pStyle w:val="14"/>
        <w:snapToGrid w:val="0"/>
        <w:jc w:val="both"/>
      </w:pPr>
      <w:r>
        <w:rPr>
          <w:rStyle w:val="13"/>
        </w:rPr>
        <w:footnoteRef/>
      </w:r>
      <w:r>
        <w:t xml:space="preserve"> </w:t>
      </w:r>
      <w:r>
        <w:rPr>
          <w:rFonts w:ascii="Verdana" w:hAnsi="Verdana" w:cs="Verdana"/>
          <w:sz w:val="15"/>
          <w:szCs w:val="15"/>
        </w:rPr>
        <w:t xml:space="preserve">Così Cassazione civile, sezione lavoro, ordinanza del 13.10.2020, n. 22084: </w:t>
      </w:r>
      <w:r>
        <w:rPr>
          <w:rFonts w:ascii="Verdana" w:hAnsi="Verdana" w:cs="Verdana"/>
          <w:i/>
          <w:iCs/>
          <w:sz w:val="15"/>
          <w:szCs w:val="15"/>
        </w:rPr>
        <w:t>le espressioni violazione o falsa applicazione di legge, di cui all'art. 360, comma 1, n. 3 c.p.c., descrivono i due momenti in cui si articola il giudizio di diritto: a) quello concernente la ricerca e l'interpretazione della norma ritenuta regolatrice del caso concreto; b) quello afferente l'applicazione della norma stessa una volta correttamente individuata ed interpretata. II vizio di violazione di legge investe immediatamente la regola di diritto, risolvendosi nella negazione o affermazione erronea della esistenza o inesistenza di una norma, ovvero nell'attribuzione ad essa di un contenuto che non possiede, avuto riguardo alla fattispecie in essa delineata; il vizio di falsa applicazione di legge consiste, o nell'assumere la fattispecie concreta giudicata sotto una norma che non le si addice, perché la fattispecie astratta da essa prevista pur rettamente individuata e interpretata, non è idonea a regolarla, o nel trarre dalla norma, in relazione alla fattispecie concreta, conseguenze giuridiche che contraddicano la pur corretta sua interpretazione. Non rientra nell'ambito applicativo dell'art. 360, comma 1, n. 3, l'allegazione di un'erronea ricognizione della fattispecie concreta a mezzo delle risultanze di causa, quale è l'affermare che sia stato trascurato un fatto specifico storicamente apprezzabile, che è, invece, esterna all'esatta interpretazione della norma e inerisce alla tipica valutazione del giudice di merito, sottratta perciò al sindacato di legittimità.</w:t>
      </w:r>
    </w:p>
  </w:footnote>
  <w:footnote w:id="27">
    <w:p>
      <w:pPr>
        <w:pStyle w:val="14"/>
        <w:snapToGrid w:val="0"/>
        <w:rPr>
          <w:rFonts w:ascii="Verdana" w:hAnsi="Verdana" w:cs="Verdana"/>
          <w:sz w:val="15"/>
          <w:szCs w:val="15"/>
        </w:rPr>
      </w:pPr>
      <w:r>
        <w:rPr>
          <w:rStyle w:val="13"/>
          <w:rFonts w:ascii="Verdana" w:hAnsi="Verdana" w:cs="Verdana"/>
          <w:sz w:val="15"/>
          <w:szCs w:val="15"/>
        </w:rPr>
        <w:footnoteRef/>
      </w:r>
      <w:r>
        <w:rPr>
          <w:rFonts w:ascii="Verdana" w:hAnsi="Verdana" w:cs="Verdana"/>
          <w:sz w:val="15"/>
          <w:szCs w:val="15"/>
        </w:rPr>
        <w:t xml:space="preserve"> In</w:t>
      </w:r>
      <w:r>
        <w:rPr>
          <w:rFonts w:ascii="Verdana" w:hAnsi="Verdana" w:cs="Verdana"/>
          <w:i/>
          <w:iCs/>
          <w:sz w:val="15"/>
          <w:szCs w:val="15"/>
        </w:rPr>
        <w:t xml:space="preserve"> La Nuova Procedura Civile</w:t>
      </w:r>
      <w:r>
        <w:rPr>
          <w:rFonts w:ascii="Verdana" w:hAnsi="Verdana" w:cs="Verdana"/>
          <w:sz w:val="15"/>
          <w:szCs w:val="15"/>
        </w:rPr>
        <w:t>, 3, 2021.</w:t>
      </w:r>
    </w:p>
  </w:footnote>
  <w:footnote w:id="28">
    <w:p>
      <w:pPr>
        <w:pStyle w:val="14"/>
        <w:snapToGrid w:val="0"/>
        <w:rPr>
          <w:rFonts w:ascii="Verdana" w:hAnsi="Verdana" w:cs="Verdana"/>
          <w:sz w:val="15"/>
          <w:szCs w:val="15"/>
        </w:rPr>
      </w:pPr>
      <w:r>
        <w:rPr>
          <w:rStyle w:val="13"/>
          <w:rFonts w:ascii="Verdana" w:hAnsi="Verdana" w:cs="Verdana"/>
          <w:sz w:val="15"/>
          <w:szCs w:val="15"/>
        </w:rPr>
        <w:footnoteRef/>
      </w:r>
      <w:r>
        <w:rPr>
          <w:rFonts w:ascii="Verdana" w:hAnsi="Verdana" w:cs="Verdana"/>
          <w:sz w:val="15"/>
          <w:szCs w:val="15"/>
        </w:rPr>
        <w:t xml:space="preserve"> In </w:t>
      </w:r>
      <w:r>
        <w:rPr>
          <w:rFonts w:ascii="Verdana" w:hAnsi="Verdana" w:cs="Verdana"/>
          <w:i/>
          <w:iCs/>
          <w:sz w:val="15"/>
          <w:szCs w:val="15"/>
        </w:rPr>
        <w:t>La Nuova Procedura Civile</w:t>
      </w:r>
      <w:r>
        <w:rPr>
          <w:rFonts w:ascii="Verdana" w:hAnsi="Verdana" w:cs="Verdana"/>
          <w:sz w:val="15"/>
          <w:szCs w:val="15"/>
        </w:rPr>
        <w:t>, 2, 2022.</w:t>
      </w:r>
    </w:p>
  </w:footnote>
  <w:footnote w:id="29">
    <w:p>
      <w:pPr>
        <w:pStyle w:val="14"/>
        <w:snapToGrid w:val="0"/>
        <w:rPr>
          <w:rFonts w:ascii="Verdana" w:hAnsi="Verdana" w:cs="Verdana"/>
          <w:sz w:val="15"/>
          <w:szCs w:val="15"/>
        </w:rPr>
      </w:pPr>
      <w:r>
        <w:rPr>
          <w:rStyle w:val="13"/>
          <w:rFonts w:ascii="Verdana" w:hAnsi="Verdana" w:cs="Verdana"/>
          <w:sz w:val="15"/>
          <w:szCs w:val="15"/>
        </w:rPr>
        <w:footnoteRef/>
      </w:r>
      <w:r>
        <w:rPr>
          <w:rFonts w:ascii="Verdana" w:hAnsi="Verdana" w:cs="Verdana"/>
          <w:sz w:val="15"/>
          <w:szCs w:val="15"/>
        </w:rPr>
        <w:t xml:space="preserve"> In </w:t>
      </w:r>
      <w:r>
        <w:rPr>
          <w:rFonts w:ascii="Verdana" w:hAnsi="Verdana" w:cs="Verdana"/>
          <w:i/>
          <w:iCs/>
          <w:sz w:val="15"/>
          <w:szCs w:val="15"/>
        </w:rPr>
        <w:t>La Nuova procedura Civile</w:t>
      </w:r>
      <w:r>
        <w:rPr>
          <w:rFonts w:ascii="Verdana" w:hAnsi="Verdana" w:cs="Verdana"/>
          <w:sz w:val="15"/>
          <w:szCs w:val="15"/>
        </w:rPr>
        <w:t>, 2, 2022.</w:t>
      </w:r>
    </w:p>
  </w:footnote>
  <w:footnote w:id="30">
    <w:p>
      <w:pPr>
        <w:pStyle w:val="14"/>
        <w:snapToGrid w:val="0"/>
        <w:jc w:val="both"/>
        <w:rPr>
          <w:rFonts w:ascii="Verdana" w:hAnsi="Verdana" w:cs="Verdana"/>
          <w:sz w:val="15"/>
          <w:szCs w:val="15"/>
        </w:rPr>
      </w:pPr>
      <w:r>
        <w:rPr>
          <w:rStyle w:val="13"/>
          <w:rFonts w:ascii="Verdana" w:hAnsi="Verdana" w:cs="Verdana"/>
          <w:sz w:val="15"/>
          <w:szCs w:val="15"/>
        </w:rPr>
        <w:footnoteRef/>
      </w:r>
      <w:r>
        <w:rPr>
          <w:rFonts w:ascii="Verdana" w:hAnsi="Verdana" w:cs="Verdana"/>
          <w:sz w:val="15"/>
          <w:szCs w:val="15"/>
        </w:rPr>
        <w:t xml:space="preserve"> Invero, talvolta, si parla di elevato grado di attendibilità (</w:t>
      </w:r>
      <w:r>
        <w:fldChar w:fldCharType="begin"/>
      </w:r>
      <w:r>
        <w:instrText xml:space="preserve"> HYPERLINK "https://www.lanuovaproceduracivile.com/risarcimento-da-sofferenze-psichiche-si-segue-il-criterio-dellelevato-grado-di-attendibilita/" </w:instrText>
      </w:r>
      <w:r>
        <w:fldChar w:fldCharType="separate"/>
      </w:r>
      <w:r>
        <w:rPr>
          <w:rStyle w:val="16"/>
          <w:rFonts w:ascii="Verdana" w:hAnsi="Verdana" w:cs="Verdana"/>
          <w:sz w:val="15"/>
          <w:szCs w:val="15"/>
        </w:rPr>
        <w:t>Corte d’Appello Napoli, sezione ottava, sentenza del 14.10.2022</w:t>
      </w:r>
      <w:r>
        <w:rPr>
          <w:rStyle w:val="16"/>
          <w:rFonts w:ascii="Verdana" w:hAnsi="Verdana" w:cs="Verdana"/>
          <w:sz w:val="15"/>
          <w:szCs w:val="15"/>
        </w:rPr>
        <w:fldChar w:fldCharType="end"/>
      </w:r>
      <w:r>
        <w:rPr>
          <w:rFonts w:ascii="Verdana" w:hAnsi="Verdana" w:cs="Verdana"/>
          <w:sz w:val="15"/>
          <w:szCs w:val="15"/>
        </w:rPr>
        <w:t>) .</w:t>
      </w:r>
    </w:p>
  </w:footnote>
  <w:footnote w:id="31">
    <w:p>
      <w:pPr>
        <w:pStyle w:val="14"/>
        <w:snapToGrid w:val="0"/>
        <w:rPr>
          <w:rFonts w:ascii="Verdana" w:hAnsi="Verdana" w:cs="Verdana"/>
          <w:sz w:val="15"/>
          <w:szCs w:val="15"/>
        </w:rPr>
      </w:pPr>
      <w:r>
        <w:rPr>
          <w:rStyle w:val="13"/>
          <w:rFonts w:ascii="Verdana" w:hAnsi="Verdana" w:cs="Verdana"/>
          <w:sz w:val="15"/>
          <w:szCs w:val="15"/>
        </w:rPr>
        <w:footnoteRef/>
      </w:r>
      <w:r>
        <w:rPr>
          <w:rFonts w:ascii="Verdana" w:hAnsi="Verdana" w:cs="Verdana"/>
          <w:sz w:val="15"/>
          <w:szCs w:val="15"/>
        </w:rPr>
        <w:t xml:space="preserve"> In La Nuova Procedura Civile, 3, 2022.</w:t>
      </w:r>
    </w:p>
  </w:footnote>
  <w:footnote w:id="32">
    <w:p>
      <w:pPr>
        <w:pStyle w:val="14"/>
        <w:snapToGrid w:val="0"/>
        <w:rPr>
          <w:rFonts w:ascii="Verdana" w:hAnsi="Verdana" w:cs="Verdana"/>
          <w:sz w:val="15"/>
          <w:szCs w:val="15"/>
        </w:rPr>
      </w:pPr>
      <w:r>
        <w:rPr>
          <w:rStyle w:val="13"/>
          <w:rFonts w:ascii="Verdana" w:hAnsi="Verdana" w:cs="Verdana"/>
          <w:sz w:val="15"/>
          <w:szCs w:val="15"/>
        </w:rPr>
        <w:footnoteRef/>
      </w:r>
      <w:r>
        <w:rPr>
          <w:rFonts w:ascii="Verdana" w:hAnsi="Verdana" w:cs="Verdana"/>
          <w:sz w:val="15"/>
          <w:szCs w:val="15"/>
        </w:rPr>
        <w:t xml:space="preserve"> In La Nuova Procedura Civile, 3, 2022.</w:t>
      </w:r>
    </w:p>
  </w:footnote>
  <w:footnote w:id="33">
    <w:p>
      <w:pPr>
        <w:pStyle w:val="14"/>
        <w:snapToGrid w:val="0"/>
        <w:jc w:val="both"/>
        <w:rPr>
          <w:rFonts w:ascii="Verdana" w:hAnsi="Verdana" w:cs="Verdana"/>
          <w:i/>
          <w:iCs/>
          <w:sz w:val="15"/>
          <w:szCs w:val="15"/>
        </w:rPr>
      </w:pPr>
      <w:r>
        <w:rPr>
          <w:rStyle w:val="13"/>
        </w:rPr>
        <w:footnoteRef/>
      </w:r>
      <w:r>
        <w:rPr>
          <w:rFonts w:ascii="Verdana" w:hAnsi="Verdana" w:cs="Verdana"/>
          <w:sz w:val="15"/>
          <w:szCs w:val="15"/>
        </w:rPr>
        <w:t xml:space="preserve"> Recentemente, </w:t>
      </w:r>
      <w:r>
        <w:fldChar w:fldCharType="begin"/>
      </w:r>
      <w:r>
        <w:instrText xml:space="preserve"> HYPERLINK "https://www.lanuovaproceduracivile.com/intenzione-del-legislatore-ex-art-12-preleggi-si-basa-sul-dato-normativo-no-alle-elaborazioni-interne/" </w:instrText>
      </w:r>
      <w:r>
        <w:fldChar w:fldCharType="separate"/>
      </w:r>
      <w:r>
        <w:rPr>
          <w:rStyle w:val="16"/>
          <w:rFonts w:ascii="Verdana" w:hAnsi="Verdana" w:cs="Verdana"/>
          <w:sz w:val="15"/>
          <w:szCs w:val="15"/>
        </w:rPr>
        <w:t>Cassazione civile, sezione lavoro, sentenza del 14.12.2022, n. 36646</w:t>
      </w:r>
      <w:r>
        <w:rPr>
          <w:rStyle w:val="16"/>
          <w:rFonts w:ascii="Verdana" w:hAnsi="Verdana" w:cs="Verdana"/>
          <w:sz w:val="15"/>
          <w:szCs w:val="15"/>
        </w:rPr>
        <w:fldChar w:fldCharType="end"/>
      </w:r>
      <w:r>
        <w:rPr>
          <w:rFonts w:ascii="Verdana" w:hAnsi="Verdana" w:cs="Verdana"/>
          <w:sz w:val="15"/>
          <w:szCs w:val="15"/>
        </w:rPr>
        <w:t xml:space="preserve">, in </w:t>
      </w:r>
      <w:r>
        <w:rPr>
          <w:rFonts w:ascii="Verdana" w:hAnsi="Verdana" w:cs="Verdana"/>
          <w:i/>
          <w:iCs/>
          <w:sz w:val="15"/>
          <w:szCs w:val="15"/>
        </w:rPr>
        <w:t>La Nuova Procedura Civile</w:t>
      </w:r>
      <w:r>
        <w:rPr>
          <w:rFonts w:ascii="Verdana" w:hAnsi="Verdana" w:cs="Verdana"/>
          <w:sz w:val="15"/>
          <w:szCs w:val="15"/>
        </w:rPr>
        <w:t>, 3, 2022, ha affermato che l</w:t>
      </w:r>
      <w:r>
        <w:rPr>
          <w:rFonts w:ascii="Verdana" w:hAnsi="Verdana" w:cs="Verdana"/>
          <w:i/>
          <w:iCs/>
          <w:sz w:val="15"/>
          <w:szCs w:val="15"/>
        </w:rPr>
        <w:t>a “intenzione del legislatore” (art. 12 delle preleggi) dev’essere individuata in chiave oggettiva sulla scorta del dato normativo in cui si estrinseca. Depositarie di tale intenzione non possono essere elaborazioni interne, eccentriche rispetto alla sede in cui la volontà del legislatore si forma e si manifesta.</w:t>
      </w:r>
    </w:p>
    <w:p>
      <w:pPr>
        <w:pStyle w:val="14"/>
        <w:snapToGrid w:val="0"/>
        <w:jc w:val="both"/>
        <w:rPr>
          <w:rFonts w:hint="default" w:ascii="Verdana" w:hAnsi="Verdana" w:cs="Verdana"/>
          <w:i/>
          <w:iCs/>
          <w:sz w:val="15"/>
          <w:szCs w:val="15"/>
          <w:lang w:val="it-IT"/>
        </w:rPr>
      </w:pPr>
      <w:r>
        <w:rPr>
          <w:rFonts w:hint="default" w:ascii="Verdana" w:hAnsi="Verdana" w:cs="Verdana"/>
          <w:i w:val="0"/>
          <w:iCs w:val="0"/>
          <w:sz w:val="15"/>
          <w:szCs w:val="15"/>
          <w:lang w:val="it-IT"/>
        </w:rPr>
        <w:t>Secondo GUASTINI,</w:t>
      </w:r>
      <w:r>
        <w:rPr>
          <w:rFonts w:hint="default" w:ascii="Verdana" w:hAnsi="Verdana" w:cs="Verdana"/>
          <w:i/>
          <w:iCs/>
          <w:sz w:val="15"/>
          <w:szCs w:val="15"/>
          <w:lang w:val="it-IT"/>
        </w:rPr>
        <w:t xml:space="preserve"> Le fonti del diritto e l’interpretazione, </w:t>
      </w:r>
      <w:r>
        <w:rPr>
          <w:rFonts w:hint="default" w:ascii="Verdana" w:hAnsi="Verdana" w:cs="Verdana"/>
          <w:i w:val="0"/>
          <w:iCs w:val="0"/>
          <w:sz w:val="15"/>
          <w:szCs w:val="15"/>
          <w:lang w:val="it-IT"/>
        </w:rPr>
        <w:t xml:space="preserve">Milano, 1993, 397, l’art. 12 preleggi non fissa una gerarchia; si legge </w:t>
      </w:r>
      <w:r>
        <w:rPr>
          <w:rFonts w:hint="default" w:ascii="Verdana" w:hAnsi="Verdana" w:cs="Verdana"/>
          <w:i/>
          <w:iCs/>
          <w:sz w:val="15"/>
          <w:szCs w:val="15"/>
          <w:lang w:val="it-IT"/>
        </w:rPr>
        <w:t>“Come deve comportarsi l’interprete  quando il significato ‘proprio’ delle parole sia diverso da quello che risulta dalla ‘intenzione del legislatore’  (comunque la si intenda)? Per risolvere i possibili conflitti tra i due metodi, occorrerrebbe una norma che li disponesse in un qualche rapporto gerarchico: il significato ‘proprio’ prevale sulla ‘intenzione del legislatore’. Ma una norma siffatta, semplicemente, non c’è”.</w:t>
      </w:r>
    </w:p>
    <w:p>
      <w:pPr>
        <w:pStyle w:val="14"/>
        <w:snapToGrid w:val="0"/>
        <w:jc w:val="both"/>
        <w:rPr>
          <w:rFonts w:hint="default" w:ascii="Verdana" w:hAnsi="Verdana" w:cs="Verdana"/>
          <w:i/>
          <w:iCs/>
          <w:sz w:val="15"/>
          <w:szCs w:val="15"/>
          <w:lang w:val="it-IT"/>
        </w:rPr>
      </w:pPr>
      <w:r>
        <w:rPr>
          <w:rFonts w:hint="default" w:ascii="Verdana" w:hAnsi="Verdana" w:cs="Verdana"/>
          <w:i w:val="0"/>
          <w:iCs w:val="0"/>
          <w:sz w:val="15"/>
          <w:szCs w:val="15"/>
          <w:lang w:val="it-IT"/>
        </w:rPr>
        <w:t xml:space="preserve">Per PERLINGIERI, </w:t>
      </w:r>
      <w:r>
        <w:rPr>
          <w:rFonts w:hint="default" w:ascii="Verdana" w:hAnsi="Verdana" w:cs="Verdana"/>
          <w:i/>
          <w:iCs/>
          <w:sz w:val="15"/>
          <w:szCs w:val="15"/>
          <w:lang w:val="it-IT"/>
        </w:rPr>
        <w:t xml:space="preserve">Il diritto civile nella legalità costituzionale, </w:t>
      </w:r>
      <w:r>
        <w:rPr>
          <w:rFonts w:hint="default" w:ascii="Verdana" w:hAnsi="Verdana" w:cs="Verdana"/>
          <w:i w:val="0"/>
          <w:iCs w:val="0"/>
          <w:sz w:val="15"/>
          <w:szCs w:val="15"/>
          <w:lang w:val="it-IT"/>
        </w:rPr>
        <w:t>Napoli, 2020, 324</w:t>
      </w:r>
      <w:r>
        <w:rPr>
          <w:rFonts w:hint="default" w:ascii="Verdana" w:hAnsi="Verdana" w:cs="Verdana"/>
          <w:i/>
          <w:iCs/>
          <w:sz w:val="15"/>
          <w:szCs w:val="15"/>
          <w:lang w:val="it-IT"/>
        </w:rPr>
        <w:t xml:space="preserve"> l’interpretazione non è regolata da una logica precostituita come un procedimento per gradi nel quale ogni stadio, o momento, è preclusivo rispetto a quelli successivi. La conoscenza giuridica non si esaurisce in operazioni meccaniche ed automatiche. Velleitario pertanto sarebbe pensare che l’interprete si debba fermare alla lettera e alla grammatica della proposizione legislativa, considerando ricerche estrinseche ogni indagine sul profilo (se non) logico, teleologico ed assiologico.</w:t>
      </w:r>
    </w:p>
    <w:p>
      <w:pPr>
        <w:pStyle w:val="14"/>
        <w:snapToGrid w:val="0"/>
        <w:jc w:val="both"/>
        <w:rPr>
          <w:rFonts w:ascii="Verdana" w:hAnsi="Verdana" w:cs="Verdana"/>
          <w:i/>
          <w:iCs/>
          <w:sz w:val="15"/>
          <w:szCs w:val="15"/>
        </w:rPr>
      </w:pPr>
      <w:r>
        <w:rPr>
          <w:rFonts w:ascii="Verdana" w:hAnsi="Verdana" w:cs="Verdana"/>
          <w:sz w:val="15"/>
          <w:szCs w:val="15"/>
        </w:rPr>
        <w:t xml:space="preserve">Si legge in </w:t>
      </w:r>
      <w:r>
        <w:fldChar w:fldCharType="begin"/>
      </w:r>
      <w:r>
        <w:instrText xml:space="preserve"> HYPERLINK "https://www.lanuovaproceduracivile.com/terzo-trasportato-sezioni-unite-sullazione-diretta-ex-art-141-cod-ass-in-assenza-di-scontro-materiale-lintenzione-del-legislatore-desunta-dal-dato-letterale-vale-a-illuminarlo/" </w:instrText>
      </w:r>
      <w:r>
        <w:fldChar w:fldCharType="separate"/>
      </w:r>
      <w:r>
        <w:rPr>
          <w:rStyle w:val="16"/>
          <w:rFonts w:ascii="Verdana" w:hAnsi="Verdana"/>
          <w:sz w:val="15"/>
          <w:szCs w:val="15"/>
        </w:rPr>
        <w:t>Cassazione civile, sezioni unite, sentenza del 30.11.2022, n. 35318</w:t>
      </w:r>
      <w:r>
        <w:rPr>
          <w:rStyle w:val="16"/>
          <w:rFonts w:ascii="Verdana" w:hAnsi="Verdana"/>
          <w:sz w:val="15"/>
          <w:szCs w:val="15"/>
        </w:rPr>
        <w:fldChar w:fldCharType="end"/>
      </w:r>
      <w:r>
        <w:rPr>
          <w:rFonts w:ascii="Verdana" w:hAnsi="Verdana"/>
          <w:sz w:val="15"/>
          <w:szCs w:val="15"/>
        </w:rPr>
        <w:t xml:space="preserve">, in </w:t>
      </w:r>
      <w:r>
        <w:rPr>
          <w:rFonts w:ascii="Verdana" w:hAnsi="Verdana"/>
          <w:i/>
          <w:iCs/>
          <w:sz w:val="15"/>
          <w:szCs w:val="15"/>
        </w:rPr>
        <w:t>La Nuova Procedura Civile,</w:t>
      </w:r>
      <w:r>
        <w:rPr>
          <w:rFonts w:ascii="Verdana" w:hAnsi="Verdana"/>
          <w:sz w:val="15"/>
          <w:szCs w:val="15"/>
        </w:rPr>
        <w:t xml:space="preserve"> 3, 2022, </w:t>
      </w:r>
      <w:r>
        <w:rPr>
          <w:rFonts w:ascii="Verdana" w:hAnsi="Verdana" w:cs="Verdana"/>
          <w:sz w:val="15"/>
          <w:szCs w:val="15"/>
        </w:rPr>
        <w:t xml:space="preserve"> che “.</w:t>
      </w:r>
      <w:r>
        <w:rPr>
          <w:rFonts w:ascii="Verdana" w:hAnsi="Verdana" w:cs="Verdana"/>
          <w:i/>
          <w:iCs/>
          <w:sz w:val="15"/>
          <w:szCs w:val="15"/>
        </w:rPr>
        <w:t>..</w:t>
      </w:r>
      <w:r>
        <w:rPr>
          <w:rFonts w:ascii="Verdana" w:hAnsi="Verdana"/>
          <w:i/>
          <w:iCs/>
          <w:sz w:val="15"/>
          <w:szCs w:val="15"/>
        </w:rPr>
        <w:t>come prescritto dall’art. 12 preleggi – deve tener conto del significato proprio delle parole secondo la connessione di esse e della intenzione del legislatore (che, desunta dal dato letterale, vale – a sua volta – a “illuminarlo” e a definirne la portata), nell’ambito di una lettura che abbia presente la complessiva struttura dell’articolo e che colga la logica interna e l’interdipendenza fra le sue disposizioni”.</w:t>
      </w:r>
    </w:p>
  </w:footnote>
  <w:footnote w:id="34">
    <w:p>
      <w:pPr>
        <w:pStyle w:val="14"/>
        <w:snapToGrid w:val="0"/>
        <w:rPr>
          <w:rFonts w:ascii="Verdana" w:hAnsi="Verdana" w:cs="Verdana"/>
          <w:sz w:val="15"/>
          <w:szCs w:val="15"/>
        </w:rPr>
      </w:pPr>
      <w:r>
        <w:rPr>
          <w:rStyle w:val="13"/>
          <w:rFonts w:ascii="Verdana" w:hAnsi="Verdana" w:cs="Verdana"/>
          <w:sz w:val="15"/>
          <w:szCs w:val="15"/>
        </w:rPr>
        <w:footnoteRef/>
      </w:r>
      <w:r>
        <w:rPr>
          <w:rFonts w:ascii="Verdana" w:hAnsi="Verdana" w:cs="Verdana"/>
          <w:sz w:val="15"/>
          <w:szCs w:val="15"/>
        </w:rPr>
        <w:t xml:space="preserve"> </w:t>
      </w:r>
      <w:r>
        <w:fldChar w:fldCharType="begin"/>
      </w:r>
      <w:r>
        <w:instrText xml:space="preserve"> HYPERLINK "https://www.lanuovaproceduracivile.com/sezioni-unite-lordinanza-del-giudice-civile-che-ha-reputato-competente-un-giudice-penale-del-medesimo-ufficio-non-e-impugnabile-con-regolamento-di-competenza/" </w:instrText>
      </w:r>
      <w:r>
        <w:fldChar w:fldCharType="separate"/>
      </w:r>
      <w:r>
        <w:rPr>
          <w:rStyle w:val="16"/>
          <w:rFonts w:ascii="Verdana" w:hAnsi="Verdana" w:cs="Verdana"/>
          <w:sz w:val="15"/>
          <w:szCs w:val="15"/>
        </w:rPr>
        <w:t>Cassazione civile, sezioni unite, sentenza del 6.12.2021, n. 38596</w:t>
      </w:r>
      <w:r>
        <w:rPr>
          <w:rStyle w:val="16"/>
          <w:rFonts w:ascii="Verdana" w:hAnsi="Verdana" w:cs="Verdana"/>
          <w:sz w:val="15"/>
          <w:szCs w:val="15"/>
        </w:rPr>
        <w:fldChar w:fldCharType="end"/>
      </w:r>
      <w:r>
        <w:rPr>
          <w:rFonts w:ascii="Verdana" w:hAnsi="Verdana" w:cs="Verdana"/>
          <w:sz w:val="15"/>
          <w:szCs w:val="15"/>
        </w:rPr>
        <w:t xml:space="preserve">, in </w:t>
      </w:r>
      <w:r>
        <w:rPr>
          <w:rFonts w:ascii="Verdana" w:hAnsi="Verdana" w:cs="Verdana"/>
          <w:i/>
          <w:iCs/>
          <w:sz w:val="15"/>
          <w:szCs w:val="15"/>
        </w:rPr>
        <w:t>La Nuova Procedura Civile</w:t>
      </w:r>
      <w:r>
        <w:rPr>
          <w:rFonts w:ascii="Verdana" w:hAnsi="Verdana" w:cs="Verdana"/>
          <w:sz w:val="15"/>
          <w:szCs w:val="15"/>
        </w:rPr>
        <w:t>, 3, 2021.</w:t>
      </w:r>
    </w:p>
  </w:footnote>
  <w:footnote w:id="35">
    <w:p>
      <w:pPr>
        <w:pStyle w:val="14"/>
        <w:snapToGrid w:val="0"/>
        <w:jc w:val="both"/>
        <w:rPr>
          <w:rFonts w:ascii="Verdana" w:hAnsi="Verdana" w:cs="Verdana"/>
          <w:i/>
          <w:iCs/>
          <w:sz w:val="15"/>
          <w:szCs w:val="15"/>
        </w:rPr>
      </w:pPr>
      <w:r>
        <w:rPr>
          <w:rStyle w:val="13"/>
        </w:rPr>
        <w:footnoteRef/>
      </w:r>
      <w:r>
        <w:t xml:space="preserve"> </w:t>
      </w:r>
      <w:r>
        <w:rPr>
          <w:rFonts w:ascii="Verdana" w:hAnsi="Verdana" w:cs="Verdana"/>
          <w:sz w:val="15"/>
          <w:szCs w:val="15"/>
        </w:rPr>
        <w:t xml:space="preserve">Per SPIRITO, in Relazione tenuta in occasione del </w:t>
      </w:r>
      <w:r>
        <w:fldChar w:fldCharType="begin"/>
      </w:r>
      <w:r>
        <w:instrText xml:space="preserve"> HYPERLINK "https://www.scuoladirittoavanzato.com/2022/01/31/diritto-e-matematica/" </w:instrText>
      </w:r>
      <w:r>
        <w:fldChar w:fldCharType="separate"/>
      </w:r>
      <w:r>
        <w:rPr>
          <w:rStyle w:val="16"/>
          <w:rFonts w:ascii="Verdana" w:hAnsi="Verdana" w:cs="Verdana"/>
          <w:sz w:val="15"/>
          <w:szCs w:val="15"/>
        </w:rPr>
        <w:t xml:space="preserve">convegno </w:t>
      </w:r>
      <w:r>
        <w:rPr>
          <w:rStyle w:val="16"/>
          <w:rFonts w:ascii="Verdana" w:hAnsi="Verdana" w:cs="Verdana"/>
          <w:i/>
          <w:iCs/>
          <w:sz w:val="15"/>
          <w:szCs w:val="15"/>
        </w:rPr>
        <w:t>Diritto e Matematica, Interpretazione della legge e valutazione delle prove</w:t>
      </w:r>
      <w:r>
        <w:rPr>
          <w:rStyle w:val="16"/>
          <w:rFonts w:ascii="Verdana" w:hAnsi="Verdana" w:cs="Verdana"/>
          <w:i/>
          <w:iCs/>
          <w:sz w:val="15"/>
          <w:szCs w:val="15"/>
        </w:rPr>
        <w:fldChar w:fldCharType="end"/>
      </w:r>
      <w:r>
        <w:rPr>
          <w:rFonts w:ascii="Verdana" w:hAnsi="Verdana" w:cs="Verdana"/>
          <w:i/>
          <w:iCs/>
          <w:sz w:val="15"/>
          <w:szCs w:val="15"/>
        </w:rPr>
        <w:t xml:space="preserve">, </w:t>
      </w:r>
      <w:r>
        <w:rPr>
          <w:rFonts w:ascii="Verdana" w:hAnsi="Verdana" w:cs="Verdana"/>
          <w:sz w:val="15"/>
          <w:szCs w:val="15"/>
        </w:rPr>
        <w:t xml:space="preserve">presso </w:t>
      </w:r>
      <w:r>
        <w:rPr>
          <w:rFonts w:ascii="Verdana" w:hAnsi="Verdana" w:cs="Verdana"/>
          <w:i/>
          <w:iCs/>
          <w:sz w:val="15"/>
          <w:szCs w:val="15"/>
        </w:rPr>
        <w:t>Center for Amnerican Studies</w:t>
      </w:r>
      <w:r>
        <w:rPr>
          <w:rFonts w:ascii="Verdana" w:hAnsi="Verdana" w:cs="Verdana"/>
          <w:sz w:val="15"/>
          <w:szCs w:val="15"/>
        </w:rPr>
        <w:t xml:space="preserve">, Roma, 15.3.2022, </w:t>
      </w:r>
      <w:r>
        <w:fldChar w:fldCharType="begin"/>
      </w:r>
      <w:r>
        <w:instrText xml:space="preserve"> HYPERLINK "https://www.youtube.com/watch?v=2FzW6JEBlEo" </w:instrText>
      </w:r>
      <w:r>
        <w:fldChar w:fldCharType="separate"/>
      </w:r>
      <w:r>
        <w:rPr>
          <w:rStyle w:val="16"/>
          <w:rFonts w:ascii="Verdana" w:hAnsi="Verdana" w:cs="Verdana"/>
          <w:sz w:val="15"/>
          <w:szCs w:val="15"/>
        </w:rPr>
        <w:t>reperibile su YouTube (min. 57.oo)</w:t>
      </w:r>
      <w:r>
        <w:rPr>
          <w:rStyle w:val="16"/>
          <w:rFonts w:ascii="Verdana" w:hAnsi="Verdana" w:cs="Verdana"/>
          <w:sz w:val="15"/>
          <w:szCs w:val="15"/>
        </w:rPr>
        <w:fldChar w:fldCharType="end"/>
      </w:r>
      <w:r>
        <w:rPr>
          <w:rFonts w:ascii="Verdana" w:hAnsi="Verdana" w:cs="Verdana"/>
          <w:sz w:val="15"/>
          <w:szCs w:val="15"/>
        </w:rPr>
        <w:t xml:space="preserve">, il momento interpretativo </w:t>
      </w:r>
      <w:r>
        <w:rPr>
          <w:rFonts w:ascii="Verdana" w:hAnsi="Verdana" w:cs="Verdana"/>
          <w:i/>
          <w:iCs/>
          <w:sz w:val="15"/>
          <w:szCs w:val="15"/>
        </w:rPr>
        <w:t>è difficile; lo stesso articolo 12 delle preleggi  conosce questa incertezza. Sono presenti 3 livelli interpretativi:</w:t>
      </w:r>
    </w:p>
    <w:p>
      <w:pPr>
        <w:pStyle w:val="14"/>
        <w:snapToGrid w:val="0"/>
        <w:ind w:left="419" w:leftChars="133" w:hanging="100" w:hangingChars="67"/>
        <w:jc w:val="both"/>
        <w:rPr>
          <w:rFonts w:ascii="Verdana" w:hAnsi="Verdana" w:cs="Verdana"/>
          <w:i/>
          <w:iCs/>
          <w:sz w:val="15"/>
          <w:szCs w:val="15"/>
        </w:rPr>
      </w:pPr>
      <w:r>
        <w:rPr>
          <w:rFonts w:ascii="Verdana" w:hAnsi="Verdana" w:cs="Verdana"/>
          <w:i/>
          <w:iCs/>
          <w:sz w:val="15"/>
          <w:szCs w:val="15"/>
        </w:rPr>
        <w:t>-quello cosiddetto letterale o testuale con le connessioni delle parole;</w:t>
      </w:r>
    </w:p>
    <w:p>
      <w:pPr>
        <w:pStyle w:val="14"/>
        <w:snapToGrid w:val="0"/>
        <w:ind w:left="419" w:leftChars="133" w:hanging="100" w:hangingChars="67"/>
        <w:jc w:val="both"/>
        <w:rPr>
          <w:rFonts w:ascii="Verdana" w:hAnsi="Verdana" w:cs="Verdana"/>
          <w:i/>
          <w:iCs/>
          <w:sz w:val="15"/>
          <w:szCs w:val="15"/>
        </w:rPr>
      </w:pPr>
      <w:r>
        <w:rPr>
          <w:rFonts w:ascii="Verdana" w:hAnsi="Verdana" w:cs="Verdana"/>
          <w:i/>
          <w:iCs/>
          <w:sz w:val="15"/>
          <w:szCs w:val="15"/>
        </w:rPr>
        <w:t>- quello che è affidato alla intenzione del legislatore e che è un altro problema enorme perché oggi comprendere l'intenzione del legislatore è praticamente impossibile;</w:t>
      </w:r>
    </w:p>
    <w:p>
      <w:pPr>
        <w:pStyle w:val="14"/>
        <w:snapToGrid w:val="0"/>
        <w:ind w:left="419" w:leftChars="133" w:hanging="100" w:hangingChars="67"/>
        <w:jc w:val="both"/>
        <w:rPr>
          <w:rFonts w:ascii="Verdana" w:hAnsi="Verdana" w:cs="Verdana"/>
          <w:i/>
          <w:iCs/>
          <w:sz w:val="15"/>
          <w:szCs w:val="15"/>
        </w:rPr>
      </w:pPr>
      <w:r>
        <w:rPr>
          <w:rFonts w:ascii="Verdana" w:hAnsi="Verdana" w:cs="Verdana"/>
          <w:i/>
          <w:iCs/>
          <w:sz w:val="15"/>
          <w:szCs w:val="15"/>
        </w:rPr>
        <w:t>-quello che è affidato all'analogia.</w:t>
      </w:r>
    </w:p>
    <w:p>
      <w:pPr>
        <w:pStyle w:val="14"/>
        <w:snapToGrid w:val="0"/>
        <w:ind w:left="419" w:leftChars="133" w:hanging="100" w:hangingChars="67"/>
        <w:jc w:val="both"/>
        <w:rPr>
          <w:rFonts w:ascii="Verdana" w:hAnsi="Verdana" w:cs="Verdana"/>
          <w:i/>
          <w:iCs/>
          <w:sz w:val="15"/>
          <w:szCs w:val="15"/>
        </w:rPr>
      </w:pPr>
      <w:r>
        <w:rPr>
          <w:rFonts w:ascii="Verdana" w:hAnsi="Verdana" w:cs="Verdana"/>
          <w:i/>
          <w:iCs/>
          <w:sz w:val="15"/>
          <w:szCs w:val="15"/>
        </w:rPr>
        <w:t>Poi viene data una scappatoia finale in cui ci si rende conto che il problema potrebbe essere arduo e si dice se il caso rimane ancora dubbio, quindi prevede la difficoltà di tutto questo, si decide secondo i principi generali dell'ordinamento giuridico dello Stato.</w:t>
      </w:r>
    </w:p>
    <w:p>
      <w:pPr>
        <w:pStyle w:val="14"/>
        <w:snapToGrid w:val="0"/>
        <w:ind w:left="419" w:leftChars="133" w:hanging="100" w:hangingChars="67"/>
        <w:jc w:val="both"/>
        <w:rPr>
          <w:rFonts w:ascii="Verdana" w:hAnsi="Verdana" w:cs="Verdana"/>
          <w:i/>
          <w:iCs/>
          <w:sz w:val="15"/>
          <w:szCs w:val="15"/>
        </w:rPr>
      </w:pPr>
      <w:r>
        <w:rPr>
          <w:rFonts w:ascii="Verdana" w:hAnsi="Verdana" w:cs="Verdana"/>
          <w:i/>
          <w:iCs/>
          <w:sz w:val="15"/>
          <w:szCs w:val="15"/>
        </w:rPr>
        <w:t>Qui il problema è che lo Stato ormai principi generali di carattere giuridico non ne ha più da tempo e probabilmente con questi sforzi che noi mettiamo nella giurimetria e nell’intelligenza artificiale andiamo alla ricerca di questo.</w:t>
      </w:r>
    </w:p>
    <w:p>
      <w:pPr>
        <w:pStyle w:val="14"/>
        <w:snapToGrid w:val="0"/>
        <w:ind w:left="419" w:leftChars="133" w:hanging="100" w:hangingChars="67"/>
        <w:jc w:val="both"/>
        <w:rPr>
          <w:rFonts w:hint="default" w:ascii="Verdana" w:hAnsi="Verdana" w:cs="Verdana"/>
          <w:i/>
          <w:iCs/>
          <w:sz w:val="15"/>
          <w:szCs w:val="15"/>
          <w:lang w:val="it-IT"/>
        </w:rPr>
      </w:pPr>
      <w:r>
        <w:rPr>
          <w:rFonts w:hint="default" w:ascii="Verdana" w:hAnsi="Verdana" w:cs="Verdana"/>
          <w:i w:val="0"/>
          <w:iCs w:val="0"/>
          <w:sz w:val="15"/>
          <w:szCs w:val="15"/>
          <w:lang w:val="it-IT"/>
        </w:rPr>
        <w:t>Si legge in CARINGELLA,</w:t>
      </w:r>
      <w:r>
        <w:rPr>
          <w:rFonts w:hint="default" w:ascii="Verdana" w:hAnsi="Verdana" w:cs="Verdana"/>
          <w:i/>
          <w:iCs/>
          <w:sz w:val="15"/>
          <w:szCs w:val="15"/>
          <w:lang w:val="it-IT"/>
        </w:rPr>
        <w:t xml:space="preserve"> L’interpretazione del diritto, Roma, 2021, 40, </w:t>
      </w:r>
      <w:r>
        <w:rPr>
          <w:rFonts w:hint="default" w:ascii="Verdana" w:hAnsi="Verdana" w:cs="Verdana"/>
          <w:i w:val="0"/>
          <w:iCs w:val="0"/>
          <w:sz w:val="15"/>
          <w:szCs w:val="15"/>
          <w:lang w:val="it-IT"/>
        </w:rPr>
        <w:t xml:space="preserve">che </w:t>
      </w:r>
      <w:r>
        <w:rPr>
          <w:rFonts w:hint="default" w:ascii="Verdana" w:hAnsi="Verdana" w:cs="Verdana"/>
          <w:i/>
          <w:iCs/>
          <w:sz w:val="15"/>
          <w:szCs w:val="15"/>
          <w:lang w:val="it-IT"/>
        </w:rPr>
        <w:t>ciò che rileva è che, anche per le zone opache e le disposizioni vaghe o generiche, la libertà dell’interprete è tale proprio grazie ai limiti che la rendono funzionale all’utilità generale stabilita dalla legge.</w:t>
      </w:r>
    </w:p>
    <w:p>
      <w:pPr>
        <w:pStyle w:val="14"/>
        <w:snapToGrid w:val="0"/>
        <w:ind w:left="419" w:leftChars="133" w:hanging="100" w:hangingChars="67"/>
        <w:jc w:val="both"/>
        <w:rPr>
          <w:rFonts w:hint="default" w:ascii="Verdana" w:hAnsi="Verdana" w:cs="Verdana"/>
          <w:i w:val="0"/>
          <w:iCs w:val="0"/>
          <w:sz w:val="15"/>
          <w:szCs w:val="15"/>
          <w:lang w:val="it-IT"/>
        </w:rPr>
      </w:pPr>
      <w:r>
        <w:rPr>
          <w:rFonts w:hint="default" w:ascii="Verdana" w:hAnsi="Verdana" w:cs="Verdana"/>
          <w:i w:val="0"/>
          <w:iCs w:val="0"/>
          <w:sz w:val="15"/>
          <w:szCs w:val="15"/>
          <w:lang w:val="it-IT"/>
        </w:rPr>
        <w:t>Sul tema della negoziazione algoritmica, si veda PERNICE,</w:t>
      </w:r>
      <w:r>
        <w:rPr>
          <w:rFonts w:hint="default" w:ascii="Verdana" w:hAnsi="Verdana" w:cs="Verdana"/>
          <w:i/>
          <w:iCs/>
          <w:sz w:val="15"/>
          <w:szCs w:val="15"/>
          <w:lang w:val="it-IT"/>
        </w:rPr>
        <w:t xml:space="preserve"> </w:t>
      </w:r>
      <w:r>
        <w:rPr>
          <w:rFonts w:hint="default" w:ascii="Verdana" w:hAnsi="Verdana"/>
          <w:i/>
          <w:iCs/>
          <w:sz w:val="15"/>
          <w:szCs w:val="15"/>
          <w:lang w:val="it-IT"/>
        </w:rPr>
        <w:t xml:space="preserve">Smart contract e automazione contrattuale: potenzialità e rischi della negoziazione algoritmica nell’era digitale, </w:t>
      </w:r>
      <w:r>
        <w:rPr>
          <w:rFonts w:hint="default" w:ascii="Verdana" w:hAnsi="Verdana"/>
          <w:i w:val="0"/>
          <w:iCs w:val="0"/>
          <w:sz w:val="15"/>
          <w:szCs w:val="15"/>
          <w:lang w:val="it-IT"/>
        </w:rPr>
        <w:t>in</w:t>
      </w:r>
      <w:r>
        <w:rPr>
          <w:rFonts w:hint="default" w:ascii="Verdana" w:hAnsi="Verdana"/>
          <w:i/>
          <w:iCs/>
          <w:sz w:val="15"/>
          <w:szCs w:val="15"/>
          <w:lang w:val="it-IT"/>
        </w:rPr>
        <w:t xml:space="preserve"> Diritto del Mercato Assicurativo e Finanziario, </w:t>
      </w:r>
      <w:r>
        <w:rPr>
          <w:rFonts w:hint="default" w:ascii="Verdana" w:hAnsi="Verdana"/>
          <w:i w:val="0"/>
          <w:iCs w:val="0"/>
          <w:sz w:val="15"/>
          <w:szCs w:val="15"/>
          <w:lang w:val="it-IT"/>
        </w:rPr>
        <w:t>2019, 1.</w:t>
      </w:r>
    </w:p>
  </w:footnote>
  <w:footnote w:id="36">
    <w:p>
      <w:pPr>
        <w:pStyle w:val="14"/>
        <w:jc w:val="both"/>
        <w:rPr>
          <w:rFonts w:ascii="Verdana" w:hAnsi="Verdana" w:cs="Verdana"/>
          <w:sz w:val="15"/>
          <w:szCs w:val="15"/>
        </w:rPr>
      </w:pPr>
      <w:r>
        <w:rPr>
          <w:rStyle w:val="13"/>
          <w:rFonts w:ascii="Verdana" w:hAnsi="Verdana" w:cs="Verdana"/>
          <w:sz w:val="15"/>
          <w:szCs w:val="15"/>
        </w:rPr>
        <w:footnoteRef/>
      </w:r>
      <w:r>
        <w:rPr>
          <w:rFonts w:ascii="Verdana" w:hAnsi="Verdana" w:cs="Verdana"/>
          <w:sz w:val="15"/>
          <w:szCs w:val="15"/>
        </w:rPr>
        <w:t xml:space="preserve"> Come già affermato.</w:t>
      </w:r>
    </w:p>
  </w:footnote>
  <w:footnote w:id="37">
    <w:p>
      <w:pPr>
        <w:pStyle w:val="14"/>
        <w:jc w:val="both"/>
        <w:rPr>
          <w:rFonts w:ascii="Verdana" w:hAnsi="Verdana" w:cs="Verdana"/>
          <w:sz w:val="15"/>
          <w:szCs w:val="15"/>
        </w:rPr>
      </w:pPr>
      <w:r>
        <w:rPr>
          <w:rStyle w:val="13"/>
          <w:rFonts w:ascii="Verdana" w:hAnsi="Verdana" w:cs="Verdana"/>
          <w:sz w:val="15"/>
          <w:szCs w:val="15"/>
        </w:rPr>
        <w:footnoteRef/>
      </w:r>
      <w:r>
        <w:rPr>
          <w:rFonts w:ascii="Verdana" w:hAnsi="Verdana" w:cs="Verdana"/>
          <w:sz w:val="15"/>
          <w:szCs w:val="15"/>
        </w:rPr>
        <w:t xml:space="preserve"> Si assegna ad </w:t>
      </w:r>
      <w:r>
        <w:rPr>
          <w:rFonts w:ascii="Verdana" w:hAnsi="Verdana" w:cs="Verdana"/>
          <w:i/>
          <w:sz w:val="15"/>
          <w:szCs w:val="15"/>
        </w:rPr>
        <w:t xml:space="preserve">n </w:t>
      </w:r>
      <w:r>
        <w:rPr>
          <w:rFonts w:ascii="Verdana" w:hAnsi="Verdana" w:cs="Verdana"/>
          <w:sz w:val="15"/>
          <w:szCs w:val="15"/>
        </w:rPr>
        <w:t>il valore di numero delle interpretazioni possibili.</w:t>
      </w:r>
    </w:p>
    <w:p>
      <w:pPr>
        <w:pStyle w:val="14"/>
        <w:jc w:val="both"/>
        <w:rPr>
          <w:rFonts w:hint="default" w:ascii="Verdana" w:hAnsi="Verdana"/>
          <w:i/>
          <w:iCs/>
          <w:sz w:val="15"/>
          <w:szCs w:val="15"/>
          <w:lang w:val="it-IT"/>
        </w:rPr>
      </w:pPr>
      <w:r>
        <w:rPr>
          <w:rFonts w:hint="default" w:ascii="Verdana" w:hAnsi="Verdana" w:cs="Verdana"/>
          <w:sz w:val="15"/>
          <w:szCs w:val="15"/>
          <w:lang w:val="it-IT"/>
        </w:rPr>
        <w:t xml:space="preserve">Per </w:t>
      </w:r>
      <w:r>
        <w:rPr>
          <w:rFonts w:hint="default" w:ascii="Verdana" w:hAnsi="Verdana"/>
          <w:sz w:val="15"/>
          <w:szCs w:val="15"/>
          <w:lang w:val="it-IT"/>
        </w:rPr>
        <w:t>Cassazione civile, sezioni unite, sentenza del  22.03.2019, n. 8230</w:t>
      </w:r>
      <w:r>
        <w:rPr>
          <w:rFonts w:hint="default" w:ascii="Verdana" w:hAnsi="Verdana" w:cs="Verdana"/>
          <w:sz w:val="15"/>
          <w:szCs w:val="15"/>
          <w:lang w:val="it-IT"/>
        </w:rPr>
        <w:t xml:space="preserve"> in</w:t>
      </w:r>
      <w:r>
        <w:rPr>
          <w:rFonts w:hint="default" w:ascii="Verdana" w:hAnsi="Verdana" w:cs="Verdana"/>
          <w:i/>
          <w:iCs/>
          <w:sz w:val="15"/>
          <w:szCs w:val="15"/>
          <w:lang w:val="it-IT"/>
        </w:rPr>
        <w:t xml:space="preserve"> </w:t>
      </w:r>
      <w:r>
        <w:rPr>
          <w:rFonts w:hint="default" w:ascii="Verdana" w:hAnsi="Verdana"/>
          <w:i/>
          <w:iCs/>
          <w:sz w:val="15"/>
          <w:szCs w:val="15"/>
          <w:lang w:val="it-IT"/>
        </w:rPr>
        <w:t>Contratti,</w:t>
      </w:r>
      <w:r>
        <w:rPr>
          <w:rFonts w:hint="default" w:ascii="Verdana" w:hAnsi="Verdana"/>
          <w:sz w:val="15"/>
          <w:szCs w:val="15"/>
          <w:lang w:val="it-IT"/>
        </w:rPr>
        <w:t xml:space="preserve"> 2019, 5, 527 con nota di ORLANDO, l’interpretazione teleologica e quella costituzionalmente orientata non consentono di superare il dato letterale; per </w:t>
      </w:r>
      <w:r>
        <w:rPr>
          <w:rFonts w:hint="default" w:ascii="Verdana" w:hAnsi="Verdana"/>
          <w:sz w:val="15"/>
          <w:szCs w:val="15"/>
          <w:lang w:val="it-IT"/>
        </w:rPr>
        <w:fldChar w:fldCharType="begin"/>
      </w:r>
      <w:r>
        <w:rPr>
          <w:rFonts w:hint="default" w:ascii="Verdana" w:hAnsi="Verdana"/>
          <w:sz w:val="15"/>
          <w:szCs w:val="15"/>
          <w:lang w:val="it-IT"/>
        </w:rPr>
        <w:instrText xml:space="preserve"> HYPERLINK "https://www.lanuovaproceduracivile.com/si-allinterpretazione-conforme-al-diritto-unionale-ma-senza-arrivare-ad-uninterpretazione-contra-legem-del-diritto-nazionale-con-la-firma-della-cgue/" </w:instrText>
      </w:r>
      <w:r>
        <w:rPr>
          <w:rFonts w:hint="default" w:ascii="Verdana" w:hAnsi="Verdana"/>
          <w:sz w:val="15"/>
          <w:szCs w:val="15"/>
          <w:lang w:val="it-IT"/>
        </w:rPr>
        <w:fldChar w:fldCharType="separate"/>
      </w:r>
      <w:r>
        <w:rPr>
          <w:rStyle w:val="16"/>
          <w:rFonts w:hint="default" w:ascii="Verdana" w:hAnsi="Verdana"/>
          <w:sz w:val="15"/>
          <w:szCs w:val="15"/>
          <w:lang w:val="it-IT"/>
        </w:rPr>
        <w:t>Corte giustizia Unione Europea, sezione VII, sentenza del 13.10.2022, n. 397/21</w:t>
      </w:r>
      <w:r>
        <w:rPr>
          <w:rFonts w:hint="default" w:ascii="Verdana" w:hAnsi="Verdana"/>
          <w:sz w:val="15"/>
          <w:szCs w:val="15"/>
          <w:lang w:val="it-IT"/>
        </w:rPr>
        <w:fldChar w:fldCharType="end"/>
      </w:r>
      <w:r>
        <w:rPr>
          <w:rFonts w:hint="default" w:ascii="Verdana" w:hAnsi="Verdana"/>
          <w:sz w:val="15"/>
          <w:szCs w:val="15"/>
          <w:lang w:val="it-IT"/>
        </w:rPr>
        <w:t xml:space="preserve">, in </w:t>
      </w:r>
      <w:r>
        <w:rPr>
          <w:rFonts w:hint="default" w:ascii="Verdana" w:hAnsi="Verdana"/>
          <w:i/>
          <w:iCs/>
          <w:sz w:val="15"/>
          <w:szCs w:val="15"/>
          <w:lang w:val="it-IT"/>
        </w:rPr>
        <w:t>La Nuova procedura Civile</w:t>
      </w:r>
      <w:r>
        <w:rPr>
          <w:rFonts w:hint="default" w:ascii="Verdana" w:hAnsi="Verdana"/>
          <w:sz w:val="15"/>
          <w:szCs w:val="15"/>
          <w:lang w:val="it-IT"/>
        </w:rPr>
        <w:t xml:space="preserve">, 3, 2022, </w:t>
      </w:r>
      <w:r>
        <w:rPr>
          <w:rFonts w:hint="default" w:ascii="Verdana" w:hAnsi="Verdana"/>
          <w:i/>
          <w:iCs/>
          <w:sz w:val="15"/>
          <w:szCs w:val="15"/>
          <w:lang w:val="it-IT"/>
        </w:rPr>
        <w:t xml:space="preserve"> il principio di interpretazione conforme del diritto nazionale conosce alcuni limiti. Infatti, l’obbligo, per il giudice nazionale, di fare riferimento al contenuto del diritto dell’Unione nell’interpretazione e nell’applicazione delle norme pertinenti del diritto interno trova un limite nei principi generali del diritto, ivi compreso il principio della certezza del diritto, e non può servire a fondare un’interpretazione contra legem del diritto nazionale.</w:t>
      </w:r>
    </w:p>
    <w:p>
      <w:pPr>
        <w:pStyle w:val="14"/>
        <w:jc w:val="both"/>
        <w:rPr>
          <w:rFonts w:hint="default" w:ascii="Verdana" w:hAnsi="Verdana" w:cs="Verdana"/>
          <w:sz w:val="15"/>
          <w:szCs w:val="15"/>
          <w:lang w:val="it-IT"/>
        </w:rPr>
      </w:pPr>
      <w:r>
        <w:rPr>
          <w:rFonts w:hint="default" w:ascii="Verdana" w:hAnsi="Verdana"/>
          <w:sz w:val="15"/>
          <w:szCs w:val="15"/>
          <w:lang w:val="it-IT"/>
        </w:rPr>
        <w:t>Si legge in Cassazione civile, sezione prima, sentenza del  3.4.2020, n. 7667, in</w:t>
      </w:r>
      <w:r>
        <w:rPr>
          <w:rFonts w:hint="default" w:ascii="Verdana" w:hAnsi="Verdana"/>
          <w:i/>
          <w:iCs/>
          <w:sz w:val="15"/>
          <w:szCs w:val="15"/>
          <w:lang w:val="it-IT"/>
        </w:rPr>
        <w:t xml:space="preserve"> Corriere Giur</w:t>
      </w:r>
      <w:r>
        <w:rPr>
          <w:rFonts w:hint="default" w:ascii="Verdana" w:hAnsi="Verdana"/>
          <w:sz w:val="15"/>
          <w:szCs w:val="15"/>
          <w:lang w:val="it-IT"/>
        </w:rPr>
        <w:t>., 2020, 11, 1339 con nota di BELLISARIO che</w:t>
      </w:r>
      <w:r>
        <w:rPr>
          <w:rFonts w:hint="default" w:ascii="Verdana" w:hAnsi="Verdana"/>
          <w:i/>
          <w:iCs/>
          <w:sz w:val="15"/>
          <w:szCs w:val="15"/>
          <w:lang w:val="it-IT"/>
        </w:rPr>
        <w:t xml:space="preserve"> se è vero che l’interprete non può dare alle parole un significato quale che sia, un particolare rilievo va attribuito al termine “connessione” per ricavare già dell’art. 12 preleggi, comma 1, un’indicazione a favore dell’interpretazione sistematica, facendo riferimento al contesto in cui le locuzioni si trovano e non limitandolo esclusivamente alla legge nella quale sono inserite ma estendendolo all’intero ordinamento giuridico in vigore. Peraltro, la stessa “intenzione del legislatore”, cui il predetto art. 12, attribuisce rilievo ai fini dell’interpretazione, è stata prevalentemente intesa in senso oggettivo, imponendo la ricerca di un significato conforme alla ratio legis o meglio alla ratio iuris. A venire in rilievo è piuttosto il canone della coerenza con l’intero sistema normativo, che trova implicita conferma dell’art. 12, comma 2 (per la via dell’evocazione dell’analogia legis e dell’analogia iuris come strumenti per colmare le lacune) e che dovrebbe già guidare l’interprete nella ricerca del significato “conforme allo spirito del tempo e della società per cui la norma è destinata a valere”. Può altresì affermarsi che il giudice può allontanarsi dal significato che sembrerebbe più immediatamente riconducibile al testo anche per prevenire l’antinomia con il diritto Euro-unitario e costituzionale e dunque evitare la formale disapplicazione della norma in questione.</w:t>
      </w:r>
    </w:p>
  </w:footnote>
  <w:footnote w:id="38">
    <w:p>
      <w:pPr>
        <w:pStyle w:val="14"/>
        <w:jc w:val="both"/>
        <w:rPr>
          <w:rFonts w:ascii="Verdana" w:hAnsi="Verdana" w:cs="Verdana"/>
          <w:sz w:val="15"/>
          <w:szCs w:val="15"/>
        </w:rPr>
      </w:pPr>
      <w:r>
        <w:rPr>
          <w:rStyle w:val="13"/>
          <w:rFonts w:ascii="Verdana" w:hAnsi="Verdana" w:cs="Verdana"/>
          <w:sz w:val="15"/>
          <w:szCs w:val="15"/>
        </w:rPr>
        <w:footnoteRef/>
      </w:r>
      <w:r>
        <w:rPr>
          <w:rFonts w:ascii="Verdana" w:hAnsi="Verdana" w:cs="Verdana"/>
          <w:sz w:val="15"/>
          <w:szCs w:val="15"/>
        </w:rPr>
        <w:t xml:space="preserve"> Per Cassazione penale, sezioni unite, sentenza del 29.09.2016, n. 46688, in </w:t>
      </w:r>
      <w:r>
        <w:rPr>
          <w:rFonts w:ascii="Verdana" w:hAnsi="Verdana" w:cs="Verdana"/>
          <w:i/>
          <w:sz w:val="15"/>
          <w:szCs w:val="15"/>
        </w:rPr>
        <w:t>Foro It</w:t>
      </w:r>
      <w:r>
        <w:rPr>
          <w:rFonts w:ascii="Verdana" w:hAnsi="Verdana" w:cs="Verdana"/>
          <w:sz w:val="15"/>
          <w:szCs w:val="15"/>
        </w:rPr>
        <w:t xml:space="preserve">., 2017, 1, 2, 7,  </w:t>
      </w:r>
      <w:r>
        <w:rPr>
          <w:rFonts w:ascii="Verdana" w:hAnsi="Verdana" w:cs="Verdana"/>
          <w:i/>
          <w:sz w:val="15"/>
          <w:szCs w:val="15"/>
        </w:rPr>
        <w:t>solo se si riscontri un ingiustificato vuoto di disciplina capace di menomare la precisione della disposizione, l'interprete ha agio di ricorrere all'interpretazione analogica.</w:t>
      </w:r>
    </w:p>
  </w:footnote>
  <w:footnote w:id="39">
    <w:p>
      <w:pPr>
        <w:pStyle w:val="14"/>
        <w:jc w:val="both"/>
        <w:rPr>
          <w:rFonts w:ascii="Verdana" w:hAnsi="Verdana" w:cs="Verdana"/>
          <w:sz w:val="15"/>
          <w:szCs w:val="15"/>
        </w:rPr>
      </w:pPr>
      <w:r>
        <w:rPr>
          <w:rStyle w:val="13"/>
          <w:rFonts w:ascii="Verdana" w:hAnsi="Verdana" w:cs="Verdana"/>
          <w:sz w:val="15"/>
          <w:szCs w:val="15"/>
        </w:rPr>
        <w:footnoteRef/>
      </w:r>
      <w:r>
        <w:rPr>
          <w:rFonts w:ascii="Verdana" w:hAnsi="Verdana" w:cs="Verdana"/>
          <w:sz w:val="15"/>
          <w:szCs w:val="15"/>
        </w:rPr>
        <w:t xml:space="preserve"> L’interpretazione è uguale all’analogia </w:t>
      </w:r>
      <w:r>
        <w:rPr>
          <w:rFonts w:ascii="Verdana" w:hAnsi="Verdana" w:cs="Verdana"/>
          <w:i/>
          <w:sz w:val="15"/>
          <w:szCs w:val="15"/>
        </w:rPr>
        <w:t>legis</w:t>
      </w:r>
      <w:r>
        <w:rPr>
          <w:rFonts w:ascii="Verdana" w:hAnsi="Verdana" w:cs="Verdana"/>
          <w:sz w:val="15"/>
          <w:szCs w:val="15"/>
        </w:rPr>
        <w:t xml:space="preserve"> se e solo se (&lt;=&gt;) l’interpretazione letterale è uguale a zero.</w:t>
      </w:r>
    </w:p>
  </w:footnote>
  <w:footnote w:id="40">
    <w:p>
      <w:pPr>
        <w:pStyle w:val="14"/>
        <w:jc w:val="both"/>
        <w:rPr>
          <w:rFonts w:ascii="Verdana" w:hAnsi="Verdana" w:cs="Verdana"/>
          <w:sz w:val="15"/>
          <w:szCs w:val="15"/>
        </w:rPr>
      </w:pPr>
      <w:r>
        <w:rPr>
          <w:rStyle w:val="13"/>
          <w:rFonts w:ascii="Verdana" w:hAnsi="Verdana" w:cs="Verdana"/>
          <w:sz w:val="15"/>
          <w:szCs w:val="15"/>
        </w:rPr>
        <w:footnoteRef/>
      </w:r>
      <w:r>
        <w:rPr>
          <w:rFonts w:ascii="Verdana" w:hAnsi="Verdana" w:cs="Verdana"/>
          <w:sz w:val="15"/>
          <w:szCs w:val="15"/>
        </w:rPr>
        <w:t xml:space="preserve"> Per composizione, in questa sede, si intende la sintesi tra elementi non omogenei. </w:t>
      </w:r>
    </w:p>
  </w:footnote>
  <w:footnote w:id="41">
    <w:p>
      <w:pPr>
        <w:pStyle w:val="14"/>
        <w:snapToGrid w:val="0"/>
        <w:jc w:val="both"/>
        <w:rPr>
          <w:rFonts w:ascii="Verdana" w:hAnsi="Verdana" w:cs="Verdana"/>
          <w:sz w:val="15"/>
          <w:szCs w:val="15"/>
        </w:rPr>
      </w:pPr>
      <w:r>
        <w:rPr>
          <w:rStyle w:val="13"/>
          <w:rFonts w:ascii="Verdana" w:hAnsi="Verdana" w:cs="Verdana"/>
          <w:sz w:val="15"/>
          <w:szCs w:val="15"/>
        </w:rPr>
        <w:footnoteRef/>
      </w:r>
      <w:r>
        <w:rPr>
          <w:rFonts w:ascii="Verdana" w:hAnsi="Verdana" w:cs="Verdana"/>
          <w:sz w:val="15"/>
          <w:szCs w:val="15"/>
        </w:rPr>
        <w:t xml:space="preserve"> Sono di interesse alcuni studi sui funtori deontici ad opera di PULIATTI, </w:t>
      </w:r>
      <w:r>
        <w:rPr>
          <w:rFonts w:ascii="Verdana" w:hAnsi="Verdana" w:cs="Verdana"/>
          <w:i/>
          <w:iCs/>
          <w:sz w:val="15"/>
          <w:szCs w:val="15"/>
        </w:rPr>
        <w:t>Metametodologia giuridica</w:t>
      </w:r>
      <w:r>
        <w:rPr>
          <w:rFonts w:ascii="Verdana" w:hAnsi="Verdana" w:cs="Verdana"/>
          <w:sz w:val="15"/>
          <w:szCs w:val="15"/>
        </w:rPr>
        <w:t>, vol 1.1., Bari, 2022, 104; per l’Autore “</w:t>
      </w:r>
      <w:r>
        <w:rPr>
          <w:rFonts w:ascii="Verdana" w:hAnsi="Verdana" w:cs="Verdana"/>
          <w:i/>
          <w:iCs/>
          <w:sz w:val="15"/>
          <w:szCs w:val="15"/>
        </w:rPr>
        <w:t xml:space="preserve">una formula del tipo Ox va letta come ‘obbligo di compiere x’: O è il funtore deontico dell’obbligatorietà, mentre x è l’argomento della formula e rasppresenta il contenuto dell’obbligo. La negazione dell’obbligo viene rappresentata con ¬Ox: ¬ è il simbolo della negazione e quindi la formula significa ‘non obbligo di compiere x’. L’obbligo negativo viene rappresentato con O¬x: la formula significa ‘obbligo di non compiere x’.” </w:t>
      </w:r>
      <w:r>
        <w:rPr>
          <w:rFonts w:ascii="Verdana" w:hAnsi="Verdana" w:cs="Verdana"/>
          <w:sz w:val="15"/>
          <w:szCs w:val="15"/>
        </w:rPr>
        <w:t xml:space="preserve">Si veda anche DI BERNARDO, </w:t>
      </w:r>
      <w:r>
        <w:rPr>
          <w:rFonts w:ascii="Verdana" w:hAnsi="Verdana" w:cs="Verdana"/>
          <w:i/>
          <w:iCs/>
          <w:sz w:val="15"/>
          <w:szCs w:val="15"/>
        </w:rPr>
        <w:t>Introduzione alla logica dei sistemi normativi</w:t>
      </w:r>
      <w:r>
        <w:rPr>
          <w:rFonts w:ascii="Verdana" w:hAnsi="Verdana" w:cs="Verdana"/>
          <w:sz w:val="15"/>
          <w:szCs w:val="15"/>
        </w:rPr>
        <w:t>, Bologna, 1972, 84, secondo cui la statuizione di un obbligo implica una sanzione in caso di inadempimento(in simboli: Ox --&gt; (¬x--&gt; S), laddove S sta per sanzione).</w:t>
      </w:r>
    </w:p>
  </w:footnote>
  <w:footnote w:id="42">
    <w:p>
      <w:pPr>
        <w:pStyle w:val="14"/>
        <w:jc w:val="both"/>
        <w:rPr>
          <w:rFonts w:ascii="Verdana" w:hAnsi="Verdana" w:cs="Verdana"/>
          <w:i/>
          <w:sz w:val="15"/>
          <w:szCs w:val="15"/>
        </w:rPr>
      </w:pPr>
      <w:r>
        <w:rPr>
          <w:rStyle w:val="13"/>
          <w:rFonts w:ascii="Verdana" w:hAnsi="Verdana" w:cs="Verdana"/>
          <w:sz w:val="15"/>
          <w:szCs w:val="15"/>
        </w:rPr>
        <w:footnoteRef/>
      </w:r>
      <w:r>
        <w:rPr>
          <w:rFonts w:ascii="Verdana" w:hAnsi="Verdana" w:cs="Verdana"/>
          <w:sz w:val="15"/>
          <w:szCs w:val="15"/>
        </w:rPr>
        <w:t xml:space="preserve"> Per approfondimenti si veda BELLOMO, </w:t>
      </w:r>
      <w:r>
        <w:rPr>
          <w:rFonts w:ascii="Verdana" w:hAnsi="Verdana" w:cs="Verdana"/>
          <w:i/>
          <w:sz w:val="15"/>
          <w:szCs w:val="15"/>
        </w:rPr>
        <w:t>Il metodo scientifico</w:t>
      </w:r>
      <w:r>
        <w:rPr>
          <w:rFonts w:ascii="Verdana" w:hAnsi="Verdana" w:cs="Verdana"/>
          <w:sz w:val="15"/>
          <w:szCs w:val="15"/>
        </w:rPr>
        <w:t xml:space="preserve">, in </w:t>
      </w:r>
      <w:r>
        <w:rPr>
          <w:rFonts w:ascii="Verdana" w:hAnsi="Verdana" w:cs="Verdana"/>
          <w:i/>
          <w:sz w:val="15"/>
          <w:szCs w:val="15"/>
        </w:rPr>
        <w:t>Diritto e Scienza</w:t>
      </w:r>
      <w:r>
        <w:rPr>
          <w:rFonts w:ascii="Verdana" w:hAnsi="Verdana" w:cs="Verdana"/>
          <w:sz w:val="15"/>
          <w:szCs w:val="15"/>
        </w:rPr>
        <w:t xml:space="preserve">, 1-2, 2015; secondo BELLOMO, </w:t>
      </w:r>
      <w:r>
        <w:rPr>
          <w:rFonts w:ascii="Verdana" w:hAnsi="Verdana" w:cs="Verdana"/>
          <w:i/>
          <w:sz w:val="15"/>
          <w:szCs w:val="15"/>
        </w:rPr>
        <w:t>cit., il metodo scientifico muove dalla premessa che l’ordinamento giuridico ha la funzione di razionalizzare dei comportamenti e delle relazioni umane.</w:t>
      </w:r>
    </w:p>
  </w:footnote>
  <w:footnote w:id="43">
    <w:p>
      <w:pPr>
        <w:pStyle w:val="14"/>
        <w:snapToGrid w:val="0"/>
        <w:rPr>
          <w:rFonts w:ascii="Verdana" w:hAnsi="Verdana" w:cs="Verdana"/>
          <w:i/>
          <w:iCs/>
          <w:sz w:val="15"/>
          <w:szCs w:val="15"/>
        </w:rPr>
      </w:pPr>
      <w:r>
        <w:rPr>
          <w:rStyle w:val="13"/>
        </w:rPr>
        <w:footnoteRef/>
      </w:r>
      <w:r>
        <w:t xml:space="preserve"> </w:t>
      </w:r>
      <w:r>
        <w:rPr>
          <w:rFonts w:ascii="Verdana" w:hAnsi="Verdana" w:cs="Verdana"/>
          <w:sz w:val="15"/>
          <w:szCs w:val="15"/>
        </w:rPr>
        <w:t xml:space="preserve">Si legge in </w:t>
      </w:r>
      <w:r>
        <w:rPr>
          <w:rFonts w:ascii="Verdana" w:hAnsi="Verdana" w:cs="Verdana"/>
          <w:i/>
          <w:iCs/>
          <w:sz w:val="15"/>
          <w:szCs w:val="15"/>
        </w:rPr>
        <w:t>Enciclopedia della Matematica</w:t>
      </w:r>
      <w:r>
        <w:rPr>
          <w:rFonts w:ascii="Verdana" w:hAnsi="Verdana" w:cs="Verdana"/>
          <w:sz w:val="15"/>
          <w:szCs w:val="15"/>
        </w:rPr>
        <w:t>, Treccani, Roma, 2013 che “</w:t>
      </w:r>
      <w:r>
        <w:rPr>
          <w:rFonts w:ascii="Verdana" w:hAnsi="Verdana" w:cs="Verdana"/>
          <w:i/>
          <w:iCs/>
          <w:sz w:val="15"/>
          <w:szCs w:val="15"/>
        </w:rPr>
        <w:t xml:space="preserve"> Il principio di non contraddizione può essere espresso formalmente: se A è un enunciato, cioè una formula del linguaggio degli enunciati, allora, poiché</w:t>
      </w:r>
    </w:p>
    <w:p>
      <w:pPr>
        <w:pStyle w:val="14"/>
        <w:snapToGrid w:val="0"/>
        <w:ind w:left="419" w:leftChars="133" w:hanging="100" w:hangingChars="67"/>
        <w:rPr>
          <w:rFonts w:ascii="Verdana" w:hAnsi="Verdana" w:cs="Verdana"/>
          <w:i/>
          <w:iCs/>
          <w:sz w:val="15"/>
          <w:szCs w:val="15"/>
        </w:rPr>
      </w:pPr>
      <w:r>
        <w:rPr>
          <w:rFonts w:ascii="Verdana" w:hAnsi="Verdana" w:cs="Verdana"/>
          <w:i/>
          <w:iCs/>
          <w:sz w:val="15"/>
          <w:szCs w:val="15"/>
        </w:rPr>
        <w:t>1) il simbolo ￢ (si legge «non») indica la negazione dell’enunciato che lo segue,</w:t>
      </w:r>
    </w:p>
    <w:p>
      <w:pPr>
        <w:pStyle w:val="14"/>
        <w:snapToGrid w:val="0"/>
        <w:ind w:left="0" w:firstLine="300" w:firstLineChars="200"/>
        <w:rPr>
          <w:rFonts w:ascii="Verdana" w:hAnsi="Verdana" w:cs="Verdana"/>
          <w:i/>
          <w:iCs/>
          <w:sz w:val="15"/>
          <w:szCs w:val="15"/>
        </w:rPr>
      </w:pPr>
      <w:r>
        <w:rPr>
          <w:rFonts w:ascii="Verdana" w:hAnsi="Verdana" w:cs="Verdana"/>
          <w:i/>
          <w:iCs/>
          <w:sz w:val="15"/>
          <w:szCs w:val="15"/>
        </w:rPr>
        <w:t>2) il simbolo ∧ (si legge «e») indica la congiunzione dei due enunciati tra cui è posto,</w:t>
      </w:r>
    </w:p>
    <w:p>
      <w:pPr>
        <w:pStyle w:val="14"/>
        <w:snapToGrid w:val="0"/>
        <w:ind w:left="419" w:leftChars="133" w:hanging="100" w:hangingChars="67"/>
        <w:jc w:val="both"/>
        <w:rPr>
          <w:rFonts w:ascii="Verdana" w:hAnsi="Verdana" w:cs="Verdana"/>
          <w:i/>
          <w:iCs/>
          <w:sz w:val="15"/>
          <w:szCs w:val="15"/>
        </w:rPr>
      </w:pPr>
      <w:r>
        <w:rPr>
          <w:rFonts w:ascii="Verdana" w:hAnsi="Verdana" w:cs="Verdana"/>
          <w:i/>
          <w:iCs/>
          <w:sz w:val="15"/>
          <w:szCs w:val="15"/>
        </w:rPr>
        <w:t>si ha che l’enunciato A ∧ ￢A formalizza la contraddizione «A e non A» e l’enunciato ￢(A ∧ ￢A) corrisponde al principio</w:t>
      </w:r>
    </w:p>
    <w:p>
      <w:pPr>
        <w:pStyle w:val="14"/>
        <w:snapToGrid w:val="0"/>
        <w:ind w:left="419" w:leftChars="133" w:hanging="100" w:hangingChars="67"/>
        <w:jc w:val="both"/>
        <w:rPr>
          <w:rFonts w:ascii="Verdana" w:hAnsi="Verdana" w:cs="Verdana"/>
          <w:i/>
          <w:iCs/>
          <w:sz w:val="15"/>
          <w:szCs w:val="15"/>
        </w:rPr>
      </w:pPr>
      <w:r>
        <w:rPr>
          <w:rFonts w:ascii="Verdana" w:hAnsi="Verdana" w:cs="Verdana"/>
          <w:i/>
          <w:iCs/>
          <w:sz w:val="15"/>
          <w:szCs w:val="15"/>
        </w:rPr>
        <w:t xml:space="preserve">di non contraddizione («non è vero che A e non A»). </w:t>
      </w:r>
    </w:p>
    <w:p>
      <w:pPr>
        <w:pStyle w:val="14"/>
        <w:snapToGrid w:val="0"/>
        <w:ind w:left="419" w:leftChars="133" w:hanging="100" w:hangingChars="67"/>
        <w:jc w:val="both"/>
        <w:rPr>
          <w:rFonts w:ascii="Verdana" w:hAnsi="Verdana" w:cs="Verdana"/>
          <w:i/>
          <w:iCs/>
          <w:sz w:val="15"/>
          <w:szCs w:val="15"/>
        </w:rPr>
      </w:pPr>
      <w:r>
        <w:rPr>
          <w:rFonts w:ascii="Verdana" w:hAnsi="Verdana" w:cs="Verdana"/>
          <w:i/>
          <w:iCs/>
          <w:sz w:val="15"/>
          <w:szCs w:val="15"/>
        </w:rPr>
        <w:t xml:space="preserve">La validità di questo principio nel linguaggio degli enunciati della logica classica trova riscontro nel fatto che in esso la formula ￢(A ∧ ￢A) è una tautologia. Ciò avviene perché la logica classica è una logica bivalente, cioè ha solo due valori di verità: vero o falso. Esistono, invece, altre logiche in cui si considerano anche valori di verità intermedi: sono le logiche polivalenti, di cui la logica → fuzzy è un esempio; in queste logiche non è più valido il principio di non contraddizione, così come espresso in logica classica. Inoltre, in logica classica, il principio di non contraddizione è equivalente al principio del terzo escluso secondo cui o un enunciato è vero oppure è vera la sua negazione. Questa equivalenza non è legittima in altre logiche, come per esempio la logica intuizionista in cui è valido il principio di non contraddizione ma non il principio del terzo escluso”. </w:t>
      </w:r>
    </w:p>
  </w:footnote>
  <w:footnote w:id="44">
    <w:p>
      <w:pPr>
        <w:pStyle w:val="14"/>
        <w:jc w:val="both"/>
        <w:rPr>
          <w:rFonts w:ascii="Verdana" w:hAnsi="Verdana" w:cs="Verdana"/>
          <w:i/>
          <w:sz w:val="15"/>
          <w:szCs w:val="15"/>
        </w:rPr>
      </w:pPr>
      <w:r>
        <w:rPr>
          <w:rStyle w:val="13"/>
          <w:rFonts w:ascii="Verdana" w:hAnsi="Verdana" w:cs="Verdana"/>
          <w:sz w:val="15"/>
          <w:szCs w:val="15"/>
        </w:rPr>
        <w:footnoteRef/>
      </w:r>
      <w:r>
        <w:rPr>
          <w:rFonts w:ascii="Verdana" w:hAnsi="Verdana" w:cs="Verdana"/>
          <w:sz w:val="15"/>
          <w:szCs w:val="15"/>
        </w:rPr>
        <w:t xml:space="preserve"> Non vale per il diritto penale perché in tale materia l’analogia non è ammissibile, se non in </w:t>
      </w:r>
      <w:r>
        <w:rPr>
          <w:rFonts w:ascii="Verdana" w:hAnsi="Verdana" w:cs="Verdana"/>
          <w:i/>
          <w:sz w:val="15"/>
          <w:szCs w:val="15"/>
        </w:rPr>
        <w:t>bonam partem</w:t>
      </w:r>
      <w:r>
        <w:rPr>
          <w:rFonts w:ascii="Verdana" w:hAnsi="Verdana" w:cs="Verdana"/>
          <w:sz w:val="15"/>
          <w:szCs w:val="15"/>
        </w:rPr>
        <w:t xml:space="preserve">, ex art. 14 preleggi; per Cassazione penale, sezione terza, sentenza 7.06.2017, n. 28045, </w:t>
      </w:r>
      <w:r>
        <w:rPr>
          <w:rFonts w:ascii="Verdana" w:hAnsi="Verdana" w:cs="Verdana"/>
          <w:i/>
          <w:sz w:val="15"/>
          <w:szCs w:val="15"/>
        </w:rPr>
        <w:t>la regola generale dell'ubi eadem ratio, ibi eadem dispositio, cui si ispira il procedimento analogico, incontra un'eccezione nell'art. 14 preleggi , in forza del quale "Le leggi penali e quelle che fanno eccezione a regole generali o ad altre leggi non si applicano oltre i casi e i tempi in esse considerati" La ragione della preclusione (corollario del principio di tassatività) si deve al fatto che il sistema penale è ispirato alla logica del favor libertatis e, pertanto, un'applicazione analogica di una norma punitiva finirebbe con il contrastare con la finalità di garanzia per l'individuo.</w:t>
      </w:r>
    </w:p>
    <w:p>
      <w:pPr>
        <w:pStyle w:val="14"/>
        <w:jc w:val="both"/>
        <w:rPr>
          <w:rFonts w:ascii="Verdana" w:hAnsi="Verdana" w:cs="Verdana"/>
          <w:i/>
          <w:sz w:val="15"/>
          <w:szCs w:val="15"/>
        </w:rPr>
      </w:pPr>
      <w:r>
        <w:rPr>
          <w:rFonts w:ascii="Verdana" w:hAnsi="Verdana" w:cs="Verdana"/>
          <w:sz w:val="15"/>
          <w:szCs w:val="15"/>
        </w:rPr>
        <w:t xml:space="preserve">Per Cassazione penale, sezioni unite, sentenza del 29.09.2016, n. 46688, in </w:t>
      </w:r>
      <w:r>
        <w:rPr>
          <w:rFonts w:ascii="Verdana" w:hAnsi="Verdana" w:cs="Verdana"/>
          <w:i/>
          <w:sz w:val="15"/>
          <w:szCs w:val="15"/>
        </w:rPr>
        <w:t>Foro It</w:t>
      </w:r>
      <w:r>
        <w:rPr>
          <w:rFonts w:ascii="Verdana" w:hAnsi="Verdana" w:cs="Verdana"/>
          <w:sz w:val="15"/>
          <w:szCs w:val="15"/>
        </w:rPr>
        <w:t xml:space="preserve">., 2017, 1, 2, 7,  </w:t>
      </w:r>
      <w:r>
        <w:rPr>
          <w:rFonts w:ascii="Verdana" w:hAnsi="Verdana" w:cs="Verdana"/>
          <w:i/>
          <w:sz w:val="15"/>
          <w:szCs w:val="15"/>
        </w:rPr>
        <w:t>solo se si riscontri un ingiustificato vuoto di disciplina capace di menomare la precisione della disposizione, l'interprete ha agio di ricorrere all'interpretazione analogica, tranne che nel caso (art. 14 preleggi ) in cui siffatta operazione ermeneutica miri alla "attrazione" di disposizioni di leggi che fanno eccezione a regole generali o ad altre leggi.</w:t>
      </w:r>
    </w:p>
    <w:p>
      <w:pPr>
        <w:pStyle w:val="14"/>
        <w:jc w:val="both"/>
        <w:rPr>
          <w:rFonts w:ascii="Verdana" w:hAnsi="Verdana" w:cs="Verdana"/>
          <w:sz w:val="15"/>
          <w:szCs w:val="15"/>
        </w:rPr>
      </w:pPr>
      <w:r>
        <w:rPr>
          <w:rFonts w:ascii="Verdana" w:hAnsi="Verdana" w:cs="Verdana"/>
          <w:sz w:val="15"/>
          <w:szCs w:val="15"/>
        </w:rPr>
        <w:t xml:space="preserve">Per Cassazione penale, sezione terza, sentenza del 22.10.2009, n. 49385, in </w:t>
      </w:r>
      <w:r>
        <w:rPr>
          <w:rFonts w:ascii="Verdana" w:hAnsi="Verdana" w:cs="Verdana"/>
          <w:i/>
          <w:sz w:val="15"/>
          <w:szCs w:val="15"/>
        </w:rPr>
        <w:t>Foro It.,</w:t>
      </w:r>
      <w:r>
        <w:rPr>
          <w:rFonts w:ascii="Verdana" w:hAnsi="Verdana" w:cs="Verdana"/>
          <w:sz w:val="15"/>
          <w:szCs w:val="15"/>
        </w:rPr>
        <w:t xml:space="preserve"> 2010, 3, 2, 120, </w:t>
      </w:r>
      <w:r>
        <w:rPr>
          <w:rFonts w:ascii="Verdana" w:hAnsi="Verdana" w:cs="Verdana"/>
          <w:i/>
          <w:sz w:val="15"/>
          <w:szCs w:val="15"/>
        </w:rPr>
        <w:t>l’interpretazione delle disposizioni penali deve essere assicurata tramite il pieno rispetto dei principi di tassatività e determinatezza delle fattispecie, ricordando che in materia penale, governata dal divieto di analogia in malam partem e dal principio del favor rei, non è consentito al giudice rimediare ad eventuali ed ipotetiche sviste od omissioni legislative dilatando la fattispecie penale al di là del suo contenuto tassativo.</w:t>
      </w:r>
    </w:p>
    <w:p>
      <w:pPr>
        <w:pStyle w:val="14"/>
        <w:jc w:val="both"/>
        <w:rPr>
          <w:rFonts w:ascii="Verdana" w:hAnsi="Verdana" w:cs="Verdana"/>
          <w:sz w:val="15"/>
          <w:szCs w:val="15"/>
        </w:rPr>
      </w:pPr>
      <w:r>
        <w:rPr>
          <w:rFonts w:ascii="Verdana" w:hAnsi="Verdana" w:cs="Verdana"/>
          <w:sz w:val="15"/>
          <w:szCs w:val="15"/>
        </w:rPr>
        <w:t xml:space="preserve">L’analogia in materia penale è vietata dall'art. 14 preleggi (e dall'art. 25 Cost. , comma 2) perchè porterebbe alla applicazione in </w:t>
      </w:r>
      <w:r>
        <w:rPr>
          <w:rFonts w:ascii="Verdana" w:hAnsi="Verdana" w:cs="Verdana"/>
          <w:i/>
          <w:sz w:val="15"/>
          <w:szCs w:val="15"/>
        </w:rPr>
        <w:t>malam partem</w:t>
      </w:r>
      <w:r>
        <w:rPr>
          <w:rFonts w:ascii="Verdana" w:hAnsi="Verdana" w:cs="Verdana"/>
          <w:sz w:val="15"/>
          <w:szCs w:val="15"/>
        </w:rPr>
        <w:t xml:space="preserve"> di una norma penale ad un caso non espressamente previsto dalla legge; così Cassazione penale, sezione terza, sentenza del 19.11.2009, n. 1073, in </w:t>
      </w:r>
      <w:r>
        <w:rPr>
          <w:rFonts w:ascii="Verdana" w:hAnsi="Verdana" w:cs="Verdana"/>
          <w:i/>
          <w:sz w:val="15"/>
          <w:szCs w:val="15"/>
        </w:rPr>
        <w:t>Riv. Trim. Dir. Pen</w:t>
      </w:r>
      <w:r>
        <w:rPr>
          <w:rFonts w:ascii="Verdana" w:hAnsi="Verdana" w:cs="Verdana"/>
          <w:sz w:val="15"/>
          <w:szCs w:val="15"/>
        </w:rPr>
        <w:t xml:space="preserve">. </w:t>
      </w:r>
      <w:r>
        <w:rPr>
          <w:rFonts w:ascii="Verdana" w:hAnsi="Verdana" w:cs="Verdana"/>
          <w:i/>
          <w:sz w:val="15"/>
          <w:szCs w:val="15"/>
        </w:rPr>
        <w:t>Economia</w:t>
      </w:r>
      <w:r>
        <w:rPr>
          <w:rFonts w:ascii="Verdana" w:hAnsi="Verdana" w:cs="Verdana"/>
          <w:sz w:val="15"/>
          <w:szCs w:val="15"/>
        </w:rPr>
        <w:t>, 2010, 1-2, 456.</w:t>
      </w:r>
    </w:p>
  </w:footnote>
  <w:footnote w:id="45">
    <w:p>
      <w:pPr>
        <w:pStyle w:val="14"/>
        <w:jc w:val="both"/>
        <w:rPr>
          <w:rFonts w:ascii="Verdana" w:hAnsi="Verdana" w:cs="Verdana"/>
          <w:sz w:val="15"/>
          <w:szCs w:val="15"/>
        </w:rPr>
      </w:pPr>
      <w:r>
        <w:rPr>
          <w:rStyle w:val="13"/>
          <w:rFonts w:ascii="Verdana" w:hAnsi="Verdana" w:cs="Verdana"/>
          <w:sz w:val="15"/>
          <w:szCs w:val="15"/>
        </w:rPr>
        <w:footnoteRef/>
      </w:r>
      <w:r>
        <w:rPr>
          <w:rFonts w:ascii="Verdana" w:hAnsi="Verdana" w:cs="Verdana"/>
          <w:sz w:val="15"/>
          <w:szCs w:val="15"/>
        </w:rPr>
        <w:t xml:space="preserve"> In </w:t>
      </w:r>
      <w:r>
        <w:rPr>
          <w:rFonts w:ascii="Verdana" w:hAnsi="Verdana" w:cs="Verdana"/>
          <w:i/>
          <w:sz w:val="15"/>
          <w:szCs w:val="15"/>
        </w:rPr>
        <w:t>Corriere Giur</w:t>
      </w:r>
      <w:r>
        <w:rPr>
          <w:rFonts w:ascii="Verdana" w:hAnsi="Verdana" w:cs="Verdana"/>
          <w:sz w:val="15"/>
          <w:szCs w:val="15"/>
        </w:rPr>
        <w:t xml:space="preserve">., 2015, 10, 1203 nota di BUSNELLI ed in </w:t>
      </w:r>
      <w:r>
        <w:rPr>
          <w:rFonts w:ascii="Verdana" w:hAnsi="Verdana" w:cs="Verdana"/>
          <w:i/>
          <w:sz w:val="15"/>
          <w:szCs w:val="15"/>
        </w:rPr>
        <w:t>Giur. It</w:t>
      </w:r>
      <w:r>
        <w:rPr>
          <w:rFonts w:ascii="Verdana" w:hAnsi="Verdana" w:cs="Verdana"/>
          <w:sz w:val="15"/>
          <w:szCs w:val="15"/>
        </w:rPr>
        <w:t>., 2015, 10, 2063 nota di VALORE.</w:t>
      </w:r>
    </w:p>
  </w:footnote>
  <w:footnote w:id="46">
    <w:p>
      <w:pPr>
        <w:pStyle w:val="14"/>
        <w:jc w:val="both"/>
        <w:rPr>
          <w:rFonts w:ascii="Verdana" w:hAnsi="Verdana" w:cs="Verdana"/>
          <w:sz w:val="15"/>
          <w:szCs w:val="15"/>
        </w:rPr>
      </w:pPr>
      <w:r>
        <w:rPr>
          <w:rStyle w:val="13"/>
          <w:rFonts w:ascii="Verdana" w:hAnsi="Verdana" w:cs="Verdana"/>
          <w:sz w:val="15"/>
          <w:szCs w:val="15"/>
        </w:rPr>
        <w:footnoteRef/>
      </w:r>
      <w:r>
        <w:rPr>
          <w:rFonts w:ascii="Verdana" w:hAnsi="Verdana" w:cs="Verdana"/>
          <w:sz w:val="15"/>
          <w:szCs w:val="15"/>
        </w:rPr>
        <w:t xml:space="preserve"> Di massima, si ritiene che il ragionamento per </w:t>
      </w:r>
      <w:r>
        <w:rPr>
          <w:rFonts w:ascii="Verdana" w:hAnsi="Verdana" w:cs="Verdana"/>
          <w:i/>
          <w:sz w:val="15"/>
          <w:szCs w:val="15"/>
        </w:rPr>
        <w:t>absurdum</w:t>
      </w:r>
      <w:r>
        <w:rPr>
          <w:rFonts w:ascii="Verdana" w:hAnsi="Verdana" w:cs="Verdana"/>
          <w:sz w:val="15"/>
          <w:szCs w:val="15"/>
        </w:rPr>
        <w:t xml:space="preserve"> sia una composizione dell’interpretazione letterale con quella teleologica (IL ∘ IR), ma in questo caso si è preferito attribuire il valore AI dell’interpretazione analogica perché non vi è una specifica disposizione in tema di danno da morte immediata.</w:t>
      </w:r>
    </w:p>
  </w:footnote>
  <w:footnote w:id="47">
    <w:p>
      <w:pPr>
        <w:pStyle w:val="14"/>
        <w:jc w:val="both"/>
        <w:rPr>
          <w:rFonts w:ascii="Verdana" w:hAnsi="Verdana" w:cs="Verdana"/>
          <w:sz w:val="15"/>
          <w:szCs w:val="15"/>
        </w:rPr>
      </w:pPr>
      <w:r>
        <w:rPr>
          <w:rStyle w:val="13"/>
          <w:rFonts w:ascii="Verdana" w:hAnsi="Verdana" w:cs="Verdana"/>
          <w:sz w:val="15"/>
          <w:szCs w:val="15"/>
        </w:rPr>
        <w:footnoteRef/>
      </w:r>
      <w:r>
        <w:rPr>
          <w:rFonts w:ascii="Verdana" w:hAnsi="Verdana" w:cs="Verdana"/>
          <w:sz w:val="15"/>
          <w:szCs w:val="15"/>
        </w:rPr>
        <w:t xml:space="preserve"> </w:t>
      </w:r>
      <w:r>
        <w:rPr>
          <w:rFonts w:ascii="Verdana" w:hAnsi="Verdana" w:cs="Verdana"/>
          <w:i/>
          <w:sz w:val="15"/>
          <w:szCs w:val="15"/>
        </w:rPr>
        <w:t>In materia di danno non patrimoniale, in caso di morte cagionata da un illecito, il pregiudizio conseguente è costituito dalla perdita della vita, bene giuridico autonomo rispetto alla salute, fruibile solo in natura dal titolare e insuscettibile di essere reintegrato per equivalente, sicché, ove il decesso si verifichi immediatamente o dopo brevissimo tempo dalle lesioni personali, deve escludersi la risarcibilità "iure hereditatis" di tale pregiudizio, in ragione - nel primo caso - dell'assenza del soggetto al quale sia collegabile la perdita del bene e nel cui patrimonio possa essere acquisito il relativo credito risarcitorio, ovvero - nel secondo - della mancanza di utilità di uno spazio di vita brevissimo</w:t>
      </w:r>
      <w:r>
        <w:rPr>
          <w:rFonts w:ascii="Verdana" w:hAnsi="Verdana" w:cs="Verdana"/>
          <w:sz w:val="15"/>
          <w:szCs w:val="15"/>
        </w:rPr>
        <w:t xml:space="preserve">; così Cassazione civile, sezioni unite, sentenza del  22.07.2015, n. 15350, </w:t>
      </w:r>
      <w:r>
        <w:rPr>
          <w:rFonts w:ascii="Verdana" w:hAnsi="Verdana" w:cs="Verdana"/>
          <w:i/>
          <w:sz w:val="15"/>
          <w:szCs w:val="15"/>
        </w:rPr>
        <w:t>CED Cassazione</w:t>
      </w:r>
      <w:r>
        <w:rPr>
          <w:rFonts w:ascii="Verdana" w:hAnsi="Verdana" w:cs="Verdana"/>
          <w:sz w:val="15"/>
          <w:szCs w:val="15"/>
        </w:rPr>
        <w:t xml:space="preserve">, 2015, ed in </w:t>
      </w:r>
      <w:r>
        <w:rPr>
          <w:rFonts w:ascii="Verdana" w:hAnsi="Verdana" w:cs="Verdana"/>
          <w:i/>
          <w:sz w:val="15"/>
          <w:szCs w:val="15"/>
        </w:rPr>
        <w:t>Corriere Giur.,</w:t>
      </w:r>
      <w:r>
        <w:rPr>
          <w:rFonts w:ascii="Verdana" w:hAnsi="Verdana" w:cs="Verdana"/>
          <w:sz w:val="15"/>
          <w:szCs w:val="15"/>
        </w:rPr>
        <w:t xml:space="preserve"> 2015, 10, 1203 con nota di BUSNELLI; si vedano anche le note in </w:t>
      </w:r>
      <w:r>
        <w:rPr>
          <w:rFonts w:ascii="Verdana" w:hAnsi="Verdana" w:cs="Verdana"/>
          <w:i/>
          <w:sz w:val="15"/>
          <w:szCs w:val="15"/>
        </w:rPr>
        <w:t>Danno e Resp</w:t>
      </w:r>
      <w:r>
        <w:rPr>
          <w:rFonts w:ascii="Verdana" w:hAnsi="Verdana" w:cs="Verdana"/>
          <w:sz w:val="15"/>
          <w:szCs w:val="15"/>
        </w:rPr>
        <w:t>., 2015, 10, 889 di CARBONE, FRANZONI, PARDOLESI, SIMONE, PONZANELLI.</w:t>
      </w:r>
    </w:p>
  </w:footnote>
  <w:footnote w:id="48">
    <w:p>
      <w:pPr>
        <w:pStyle w:val="14"/>
        <w:snapToGrid w:val="0"/>
        <w:jc w:val="both"/>
        <w:rPr>
          <w:rFonts w:ascii="Verdana" w:hAnsi="Verdana" w:cs="Verdana"/>
          <w:sz w:val="15"/>
          <w:szCs w:val="15"/>
        </w:rPr>
      </w:pPr>
      <w:r>
        <w:rPr>
          <w:rStyle w:val="13"/>
          <w:rFonts w:ascii="Verdana" w:hAnsi="Verdana" w:cs="Verdana"/>
          <w:sz w:val="15"/>
          <w:szCs w:val="15"/>
        </w:rPr>
        <w:footnoteRef/>
      </w:r>
      <w:r>
        <w:rPr>
          <w:rFonts w:ascii="Verdana" w:hAnsi="Verdana" w:cs="Verdana"/>
          <w:sz w:val="15"/>
          <w:szCs w:val="15"/>
        </w:rPr>
        <w:t xml:space="preserve"> Sul tema della misurazione del diritto, si veda anche D’AIETTI, </w:t>
      </w:r>
      <w:r>
        <w:rPr>
          <w:rFonts w:ascii="Verdana" w:hAnsi="Verdana" w:cs="Verdana"/>
          <w:i/>
          <w:iCs/>
          <w:sz w:val="15"/>
          <w:szCs w:val="15"/>
        </w:rPr>
        <w:t>Le tabelle a punti del danno da morte: una predittività (finalmente) concreta, misurata e realizzata da giuristi</w:t>
      </w:r>
      <w:r>
        <w:rPr>
          <w:rFonts w:ascii="Verdana" w:hAnsi="Verdana" w:cs="Verdana"/>
          <w:sz w:val="15"/>
          <w:szCs w:val="15"/>
        </w:rPr>
        <w:t xml:space="preserve">, in </w:t>
      </w:r>
      <w:r>
        <w:rPr>
          <w:rFonts w:ascii="Verdana" w:hAnsi="Verdana" w:cs="Verdana"/>
          <w:i/>
          <w:iCs/>
          <w:sz w:val="15"/>
          <w:szCs w:val="15"/>
        </w:rPr>
        <w:t>Il Foro Italiano,</w:t>
      </w:r>
      <w:r>
        <w:rPr>
          <w:rFonts w:ascii="Verdana" w:hAnsi="Verdana" w:cs="Verdana"/>
          <w:sz w:val="15"/>
          <w:szCs w:val="15"/>
        </w:rPr>
        <w:t xml:space="preserve"> 2022, 10, 284.</w:t>
      </w:r>
    </w:p>
  </w:footnote>
  <w:footnote w:id="49">
    <w:p>
      <w:pPr>
        <w:pStyle w:val="14"/>
        <w:snapToGrid w:val="0"/>
      </w:pPr>
      <w:r>
        <w:rPr>
          <w:rStyle w:val="13"/>
        </w:rPr>
        <w:footnoteRef/>
      </w:r>
      <w:r>
        <w:t xml:space="preserve"> </w:t>
      </w:r>
      <w:r>
        <w:rPr>
          <w:rFonts w:ascii="Verdana" w:hAnsi="Verdana" w:cs="Verdana"/>
          <w:i/>
          <w:iCs/>
          <w:sz w:val="15"/>
          <w:szCs w:val="15"/>
        </w:rPr>
        <w:t>Dissertatio de arte combinatoria</w:t>
      </w:r>
      <w:r>
        <w:rPr>
          <w:rFonts w:ascii="Verdana" w:hAnsi="Verdana" w:cs="Verdana"/>
          <w:sz w:val="15"/>
          <w:szCs w:val="15"/>
        </w:rPr>
        <w:t>, 1666.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PowerPlusWaterMarkObject689399439" o:spid="_x0000_s2051" o:spt="136" type="#_x0000_t136" style="position:absolute;left:0pt;height:54pt;width:759.75pt;mso-position-horizontal:center;mso-position-horizontal-relative:margin;mso-position-vertical:center;mso-position-vertical-relative:margin;rotation:20643840f;z-index:-251655168;mso-width-relative:page;mso-height-relative:page;" fillcolor="#F2F2F2" filled="t" stroked="f" coordsize="21600,21600" o:allowincell="f">
          <v:path/>
          <v:fill on="t" opacity="32768f" focussize="0,0"/>
          <v:stroke on="f"/>
          <v:imagedata o:title=""/>
          <o:lock v:ext="edit"/>
          <v:textpath on="t" fitshape="t" fitpath="t" trim="f" xscale="f" string="www.LaNuovaProceduraCivile.com" style="font-family:Traditional Arabic;font-size:48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PowerPlusWaterMarkObject689399438" o:spid="_x0000_s2050" o:spt="136" type="#_x0000_t136" style="position:absolute;left:0pt;height:54pt;width:759.75pt;mso-position-horizontal:center;mso-position-horizontal-relative:page;mso-position-vertical:center;mso-position-vertical-relative:page;rotation:20643840f;z-index:-251656192;mso-width-relative:page;mso-height-relative:page;" fillcolor="#F2F2F2" filled="t" stroked="f" coordsize="21600,21600" o:allowincell="f">
          <v:path/>
          <v:fill on="t" opacity="32768f" focussize="0,0"/>
          <v:stroke on="f"/>
          <v:imagedata o:title=""/>
          <o:lock v:ext="edit"/>
          <v:textpath on="t" fitshape="t" fitpath="t" trim="f" xscale="f" string="www.LaNuovaProceduraCivile.com" style="font-family:Traditional Arabic;font-size:4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PowerPlusWaterMarkObject689399437" o:spid="_x0000_s2049" o:spt="136" type="#_x0000_t136" style="position:absolute;left:0pt;height:54pt;width:759.75pt;mso-position-horizontal:center;mso-position-horizontal-relative:page;mso-position-vertical:center;mso-position-vertical-relative:page;rotation:20643840f;z-index:-251657216;mso-width-relative:page;mso-height-relative:page;" fillcolor="#F2F2F2" filled="t" stroked="f" coordsize="21600,21600" o:allowincell="f">
          <v:path/>
          <v:fill on="t" opacity="32768f" focussize="0,0"/>
          <v:stroke on="f"/>
          <v:imagedata o:title=""/>
          <o:lock v:ext="edit"/>
          <v:textpath on="t" fitshape="t" fitpath="t" trim="f" xscale="f" string="www.LaNuovaProceduraCivile.com" style="font-family:Traditional Arabic;font-size:48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59CF14"/>
    <w:multiLevelType w:val="singleLevel"/>
    <w:tmpl w:val="8D59CF14"/>
    <w:lvl w:ilvl="0" w:tentative="0">
      <w:start w:val="1"/>
      <w:numFmt w:val="decimal"/>
      <w:suff w:val="space"/>
      <w:lvlText w:val="%1."/>
      <w:lvlJc w:val="left"/>
    </w:lvl>
  </w:abstractNum>
  <w:abstractNum w:abstractNumId="1">
    <w:nsid w:val="A2F455F6"/>
    <w:multiLevelType w:val="singleLevel"/>
    <w:tmpl w:val="A2F455F6"/>
    <w:lvl w:ilvl="0" w:tentative="0">
      <w:start w:val="1"/>
      <w:numFmt w:val="lowerLetter"/>
      <w:suff w:val="space"/>
      <w:lvlText w:val="%1)"/>
      <w:lvlJc w:val="left"/>
    </w:lvl>
  </w:abstractNum>
  <w:abstractNum w:abstractNumId="2">
    <w:nsid w:val="014031BB"/>
    <w:multiLevelType w:val="multilevel"/>
    <w:tmpl w:val="014031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5455D5B"/>
    <w:multiLevelType w:val="multilevel"/>
    <w:tmpl w:val="05455D5B"/>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0814843"/>
    <w:multiLevelType w:val="multilevel"/>
    <w:tmpl w:val="1081484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70C5D18"/>
    <w:multiLevelType w:val="multilevel"/>
    <w:tmpl w:val="170C5D1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0CD1DB4"/>
    <w:multiLevelType w:val="multilevel"/>
    <w:tmpl w:val="20CD1D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4C01833"/>
    <w:multiLevelType w:val="multilevel"/>
    <w:tmpl w:val="24C01833"/>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2F214EF3"/>
    <w:multiLevelType w:val="multilevel"/>
    <w:tmpl w:val="2F214EF3"/>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Garamond" w:hAnsi="Garamond" w:eastAsia="Times New Roman" w:cs="Cambria Math"/>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2A046CE"/>
    <w:multiLevelType w:val="multilevel"/>
    <w:tmpl w:val="42A046C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4D364CAE"/>
    <w:multiLevelType w:val="multilevel"/>
    <w:tmpl w:val="4D364CA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DB9D958"/>
    <w:multiLevelType w:val="multilevel"/>
    <w:tmpl w:val="4DB9D958"/>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2">
    <w:nsid w:val="60973C2F"/>
    <w:multiLevelType w:val="multilevel"/>
    <w:tmpl w:val="60973C2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60D469D9"/>
    <w:multiLevelType w:val="multilevel"/>
    <w:tmpl w:val="60D469D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67C375FB"/>
    <w:multiLevelType w:val="multilevel"/>
    <w:tmpl w:val="67C375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761B40DC"/>
    <w:multiLevelType w:val="multilevel"/>
    <w:tmpl w:val="761B40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765202D1"/>
    <w:multiLevelType w:val="multilevel"/>
    <w:tmpl w:val="765202D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79A56F9D"/>
    <w:multiLevelType w:val="multilevel"/>
    <w:tmpl w:val="79A56F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11"/>
  </w:num>
  <w:num w:numId="4">
    <w:abstractNumId w:val="9"/>
  </w:num>
  <w:num w:numId="5">
    <w:abstractNumId w:val="5"/>
  </w:num>
  <w:num w:numId="6">
    <w:abstractNumId w:val="6"/>
  </w:num>
  <w:num w:numId="7">
    <w:abstractNumId w:val="14"/>
  </w:num>
  <w:num w:numId="8">
    <w:abstractNumId w:val="7"/>
  </w:num>
  <w:num w:numId="9">
    <w:abstractNumId w:val="3"/>
  </w:num>
  <w:num w:numId="10">
    <w:abstractNumId w:val="15"/>
  </w:num>
  <w:num w:numId="11">
    <w:abstractNumId w:val="4"/>
  </w:num>
  <w:num w:numId="12">
    <w:abstractNumId w:val="2"/>
  </w:num>
  <w:num w:numId="13">
    <w:abstractNumId w:val="17"/>
  </w:num>
  <w:num w:numId="14">
    <w:abstractNumId w:val="13"/>
  </w:num>
  <w:num w:numId="15">
    <w:abstractNumId w:val="16"/>
  </w:num>
  <w:num w:numId="16">
    <w:abstractNumId w:val="10"/>
  </w:num>
  <w:num w:numId="17">
    <w:abstractNumId w:val="8"/>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3"/>
  <w:displayBackgroundShape w:val="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709"/>
  <w:hyphenationZone w:val="283"/>
  <w:drawingGridHorizontalSpacing w:val="0"/>
  <w:drawingGridVerticalSpacing w:val="0"/>
  <w:doNotUseMarginsForDrawingGridOrigin w:val="1"/>
  <w:drawingGridHorizontalOrigin w:val="0"/>
  <w:drawingGridVerticalOrigin w:val="0"/>
  <w:noPunctuationKerning w:val="1"/>
  <w:characterSpacingControl w:val="doNotCompress"/>
  <w:hdrShapeDefaults>
    <o:shapelayout v:ext="edit">
      <o:idmap v:ext="edit" data="2"/>
    </o:shapelayout>
  </w:hdrShapeDefaults>
  <w:footnotePr>
    <w:footnote w:id="100"/>
    <w:footnote w:id="101"/>
  </w:footnotePr>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C91"/>
    <w:rsid w:val="00001DB0"/>
    <w:rsid w:val="0000217B"/>
    <w:rsid w:val="0000306A"/>
    <w:rsid w:val="00003B8A"/>
    <w:rsid w:val="00006444"/>
    <w:rsid w:val="000078F2"/>
    <w:rsid w:val="00011221"/>
    <w:rsid w:val="0002544B"/>
    <w:rsid w:val="00025581"/>
    <w:rsid w:val="00027869"/>
    <w:rsid w:val="00031F14"/>
    <w:rsid w:val="000352B0"/>
    <w:rsid w:val="00035C4A"/>
    <w:rsid w:val="00040372"/>
    <w:rsid w:val="000415E3"/>
    <w:rsid w:val="00041AB4"/>
    <w:rsid w:val="00042E26"/>
    <w:rsid w:val="0004332B"/>
    <w:rsid w:val="00043491"/>
    <w:rsid w:val="00043A8E"/>
    <w:rsid w:val="0004493F"/>
    <w:rsid w:val="0004502E"/>
    <w:rsid w:val="00053ED1"/>
    <w:rsid w:val="00054A87"/>
    <w:rsid w:val="00060918"/>
    <w:rsid w:val="000641C2"/>
    <w:rsid w:val="00074198"/>
    <w:rsid w:val="00075E95"/>
    <w:rsid w:val="00077A13"/>
    <w:rsid w:val="00080A8D"/>
    <w:rsid w:val="0008395B"/>
    <w:rsid w:val="00086A46"/>
    <w:rsid w:val="000926B6"/>
    <w:rsid w:val="00093DEF"/>
    <w:rsid w:val="00094309"/>
    <w:rsid w:val="000A0E75"/>
    <w:rsid w:val="000B5306"/>
    <w:rsid w:val="000B75EA"/>
    <w:rsid w:val="000C0D5B"/>
    <w:rsid w:val="000C10DA"/>
    <w:rsid w:val="000C1996"/>
    <w:rsid w:val="000C4019"/>
    <w:rsid w:val="000D0703"/>
    <w:rsid w:val="000D3747"/>
    <w:rsid w:val="000D4F6C"/>
    <w:rsid w:val="000D5FD4"/>
    <w:rsid w:val="000D63E5"/>
    <w:rsid w:val="000E17F4"/>
    <w:rsid w:val="000E2360"/>
    <w:rsid w:val="000E346B"/>
    <w:rsid w:val="000E50E5"/>
    <w:rsid w:val="000E65B1"/>
    <w:rsid w:val="000F1AD2"/>
    <w:rsid w:val="000F254A"/>
    <w:rsid w:val="000F35AE"/>
    <w:rsid w:val="000F40E4"/>
    <w:rsid w:val="00102276"/>
    <w:rsid w:val="001073BE"/>
    <w:rsid w:val="00107BFE"/>
    <w:rsid w:val="001106A1"/>
    <w:rsid w:val="001117DF"/>
    <w:rsid w:val="00114A31"/>
    <w:rsid w:val="00115084"/>
    <w:rsid w:val="00115BB4"/>
    <w:rsid w:val="00115C76"/>
    <w:rsid w:val="001212B8"/>
    <w:rsid w:val="00121E16"/>
    <w:rsid w:val="0012279D"/>
    <w:rsid w:val="00124415"/>
    <w:rsid w:val="001268EB"/>
    <w:rsid w:val="00127799"/>
    <w:rsid w:val="00130C86"/>
    <w:rsid w:val="00137491"/>
    <w:rsid w:val="0013749B"/>
    <w:rsid w:val="00137522"/>
    <w:rsid w:val="00137C3F"/>
    <w:rsid w:val="001411E4"/>
    <w:rsid w:val="0014241F"/>
    <w:rsid w:val="00142A6A"/>
    <w:rsid w:val="00145A04"/>
    <w:rsid w:val="00145B94"/>
    <w:rsid w:val="001468F7"/>
    <w:rsid w:val="00155196"/>
    <w:rsid w:val="00162F13"/>
    <w:rsid w:val="00163941"/>
    <w:rsid w:val="00167153"/>
    <w:rsid w:val="00174814"/>
    <w:rsid w:val="001759B4"/>
    <w:rsid w:val="0018012F"/>
    <w:rsid w:val="00181D16"/>
    <w:rsid w:val="00182A1D"/>
    <w:rsid w:val="00182B88"/>
    <w:rsid w:val="00183FE0"/>
    <w:rsid w:val="00186C0D"/>
    <w:rsid w:val="0019512C"/>
    <w:rsid w:val="001954A7"/>
    <w:rsid w:val="001A2428"/>
    <w:rsid w:val="001B0413"/>
    <w:rsid w:val="001B277A"/>
    <w:rsid w:val="001C1349"/>
    <w:rsid w:val="001C1D87"/>
    <w:rsid w:val="001C63D2"/>
    <w:rsid w:val="001D0590"/>
    <w:rsid w:val="001D5055"/>
    <w:rsid w:val="001E0619"/>
    <w:rsid w:val="001F2F57"/>
    <w:rsid w:val="001F4AFF"/>
    <w:rsid w:val="00200516"/>
    <w:rsid w:val="00210401"/>
    <w:rsid w:val="0021097C"/>
    <w:rsid w:val="00213946"/>
    <w:rsid w:val="00214B41"/>
    <w:rsid w:val="0022003B"/>
    <w:rsid w:val="00223CC9"/>
    <w:rsid w:val="0023027D"/>
    <w:rsid w:val="00231730"/>
    <w:rsid w:val="00240547"/>
    <w:rsid w:val="00241C22"/>
    <w:rsid w:val="00243B0C"/>
    <w:rsid w:val="002506C8"/>
    <w:rsid w:val="00251481"/>
    <w:rsid w:val="00254297"/>
    <w:rsid w:val="00256D86"/>
    <w:rsid w:val="002575A8"/>
    <w:rsid w:val="002617EF"/>
    <w:rsid w:val="00263D34"/>
    <w:rsid w:val="00270320"/>
    <w:rsid w:val="00275C79"/>
    <w:rsid w:val="00276BC5"/>
    <w:rsid w:val="00281D70"/>
    <w:rsid w:val="0028528B"/>
    <w:rsid w:val="002868B0"/>
    <w:rsid w:val="002A203E"/>
    <w:rsid w:val="002A4D77"/>
    <w:rsid w:val="002B5827"/>
    <w:rsid w:val="002C2C74"/>
    <w:rsid w:val="002C3E6B"/>
    <w:rsid w:val="002C603C"/>
    <w:rsid w:val="002C7FC0"/>
    <w:rsid w:val="002D4257"/>
    <w:rsid w:val="002E006F"/>
    <w:rsid w:val="002E38AB"/>
    <w:rsid w:val="002E4884"/>
    <w:rsid w:val="002E5EEC"/>
    <w:rsid w:val="002E65E8"/>
    <w:rsid w:val="002E7FEA"/>
    <w:rsid w:val="002F47FE"/>
    <w:rsid w:val="002F5658"/>
    <w:rsid w:val="002F5D14"/>
    <w:rsid w:val="002F5F9F"/>
    <w:rsid w:val="002F679C"/>
    <w:rsid w:val="003051A3"/>
    <w:rsid w:val="003071A2"/>
    <w:rsid w:val="00312857"/>
    <w:rsid w:val="00312EB5"/>
    <w:rsid w:val="00323730"/>
    <w:rsid w:val="00323C4F"/>
    <w:rsid w:val="00325694"/>
    <w:rsid w:val="00327C8E"/>
    <w:rsid w:val="003307FE"/>
    <w:rsid w:val="0035422F"/>
    <w:rsid w:val="00356FF7"/>
    <w:rsid w:val="0036090D"/>
    <w:rsid w:val="00364CFE"/>
    <w:rsid w:val="003664C9"/>
    <w:rsid w:val="00380655"/>
    <w:rsid w:val="00382C2B"/>
    <w:rsid w:val="003946FF"/>
    <w:rsid w:val="003A2652"/>
    <w:rsid w:val="003A739B"/>
    <w:rsid w:val="003B2D2C"/>
    <w:rsid w:val="003B2E2F"/>
    <w:rsid w:val="003B7053"/>
    <w:rsid w:val="003C258A"/>
    <w:rsid w:val="003C39A1"/>
    <w:rsid w:val="003C68A2"/>
    <w:rsid w:val="003D08B0"/>
    <w:rsid w:val="003D1C6E"/>
    <w:rsid w:val="003D2970"/>
    <w:rsid w:val="003D3015"/>
    <w:rsid w:val="003D3079"/>
    <w:rsid w:val="003D514D"/>
    <w:rsid w:val="003D5929"/>
    <w:rsid w:val="003E088D"/>
    <w:rsid w:val="003E229F"/>
    <w:rsid w:val="003E2464"/>
    <w:rsid w:val="003E4733"/>
    <w:rsid w:val="003E5FE4"/>
    <w:rsid w:val="003F1E2D"/>
    <w:rsid w:val="00401AEB"/>
    <w:rsid w:val="00407E2C"/>
    <w:rsid w:val="0041232F"/>
    <w:rsid w:val="00413473"/>
    <w:rsid w:val="004170AF"/>
    <w:rsid w:val="00422273"/>
    <w:rsid w:val="00425924"/>
    <w:rsid w:val="00433AD3"/>
    <w:rsid w:val="00435D5C"/>
    <w:rsid w:val="00435E44"/>
    <w:rsid w:val="004370C3"/>
    <w:rsid w:val="0044484E"/>
    <w:rsid w:val="0045495B"/>
    <w:rsid w:val="00454F6C"/>
    <w:rsid w:val="00455538"/>
    <w:rsid w:val="00455C41"/>
    <w:rsid w:val="004668D4"/>
    <w:rsid w:val="004675FA"/>
    <w:rsid w:val="00480D23"/>
    <w:rsid w:val="004813D1"/>
    <w:rsid w:val="00483DCA"/>
    <w:rsid w:val="00485F0E"/>
    <w:rsid w:val="00486139"/>
    <w:rsid w:val="0048773E"/>
    <w:rsid w:val="0049429C"/>
    <w:rsid w:val="00496374"/>
    <w:rsid w:val="004968CF"/>
    <w:rsid w:val="004A1D2C"/>
    <w:rsid w:val="004A6001"/>
    <w:rsid w:val="004A673B"/>
    <w:rsid w:val="004A71D0"/>
    <w:rsid w:val="004A7704"/>
    <w:rsid w:val="004B41A5"/>
    <w:rsid w:val="004B7321"/>
    <w:rsid w:val="004C0BFE"/>
    <w:rsid w:val="004C4AF8"/>
    <w:rsid w:val="004C61D5"/>
    <w:rsid w:val="004C6436"/>
    <w:rsid w:val="004C70C3"/>
    <w:rsid w:val="004D0DAD"/>
    <w:rsid w:val="004D19B5"/>
    <w:rsid w:val="004D3963"/>
    <w:rsid w:val="004D4735"/>
    <w:rsid w:val="004D69F3"/>
    <w:rsid w:val="004E010E"/>
    <w:rsid w:val="004E1B87"/>
    <w:rsid w:val="004E7E3D"/>
    <w:rsid w:val="004F794E"/>
    <w:rsid w:val="005031A4"/>
    <w:rsid w:val="00503E06"/>
    <w:rsid w:val="00514C3B"/>
    <w:rsid w:val="00516099"/>
    <w:rsid w:val="00523524"/>
    <w:rsid w:val="00524997"/>
    <w:rsid w:val="00530996"/>
    <w:rsid w:val="005321C1"/>
    <w:rsid w:val="00535DE2"/>
    <w:rsid w:val="00536A87"/>
    <w:rsid w:val="00546419"/>
    <w:rsid w:val="0055692A"/>
    <w:rsid w:val="0055728A"/>
    <w:rsid w:val="00557551"/>
    <w:rsid w:val="00564758"/>
    <w:rsid w:val="00565840"/>
    <w:rsid w:val="00575E9E"/>
    <w:rsid w:val="005840AA"/>
    <w:rsid w:val="00586DF8"/>
    <w:rsid w:val="00587C75"/>
    <w:rsid w:val="00590F17"/>
    <w:rsid w:val="005A08D1"/>
    <w:rsid w:val="005A29F5"/>
    <w:rsid w:val="005A4C1F"/>
    <w:rsid w:val="005A6119"/>
    <w:rsid w:val="005B5CA5"/>
    <w:rsid w:val="005C0861"/>
    <w:rsid w:val="005C4153"/>
    <w:rsid w:val="005C52B7"/>
    <w:rsid w:val="005C7CF1"/>
    <w:rsid w:val="005D28CC"/>
    <w:rsid w:val="005E012C"/>
    <w:rsid w:val="005E5CC9"/>
    <w:rsid w:val="005E746D"/>
    <w:rsid w:val="005F08FA"/>
    <w:rsid w:val="005F48F1"/>
    <w:rsid w:val="005F4970"/>
    <w:rsid w:val="005F4FAE"/>
    <w:rsid w:val="006011C0"/>
    <w:rsid w:val="00612AEB"/>
    <w:rsid w:val="00613FD4"/>
    <w:rsid w:val="006200FA"/>
    <w:rsid w:val="00631459"/>
    <w:rsid w:val="00633F84"/>
    <w:rsid w:val="006345B6"/>
    <w:rsid w:val="00634CA6"/>
    <w:rsid w:val="00637095"/>
    <w:rsid w:val="00645C6A"/>
    <w:rsid w:val="00646016"/>
    <w:rsid w:val="0064744E"/>
    <w:rsid w:val="00650B35"/>
    <w:rsid w:val="006512B3"/>
    <w:rsid w:val="00654598"/>
    <w:rsid w:val="00655047"/>
    <w:rsid w:val="00657477"/>
    <w:rsid w:val="00681B03"/>
    <w:rsid w:val="00684E35"/>
    <w:rsid w:val="0068564B"/>
    <w:rsid w:val="00696300"/>
    <w:rsid w:val="00697826"/>
    <w:rsid w:val="006A7638"/>
    <w:rsid w:val="006C0911"/>
    <w:rsid w:val="006C44CC"/>
    <w:rsid w:val="006D28A3"/>
    <w:rsid w:val="006D7DD3"/>
    <w:rsid w:val="006E1961"/>
    <w:rsid w:val="006E63EC"/>
    <w:rsid w:val="006F08BC"/>
    <w:rsid w:val="006F2DBF"/>
    <w:rsid w:val="00701C43"/>
    <w:rsid w:val="0071270F"/>
    <w:rsid w:val="007153A3"/>
    <w:rsid w:val="0071775C"/>
    <w:rsid w:val="007317F9"/>
    <w:rsid w:val="0073265C"/>
    <w:rsid w:val="00732B9C"/>
    <w:rsid w:val="00734802"/>
    <w:rsid w:val="00741811"/>
    <w:rsid w:val="00741BCC"/>
    <w:rsid w:val="00745337"/>
    <w:rsid w:val="007613B6"/>
    <w:rsid w:val="00763FA2"/>
    <w:rsid w:val="007642DF"/>
    <w:rsid w:val="007673CE"/>
    <w:rsid w:val="007713BF"/>
    <w:rsid w:val="007732F1"/>
    <w:rsid w:val="00783879"/>
    <w:rsid w:val="007851E5"/>
    <w:rsid w:val="00786168"/>
    <w:rsid w:val="00790FB6"/>
    <w:rsid w:val="00796207"/>
    <w:rsid w:val="007A08B7"/>
    <w:rsid w:val="007A1E46"/>
    <w:rsid w:val="007A357E"/>
    <w:rsid w:val="007B1534"/>
    <w:rsid w:val="007B4071"/>
    <w:rsid w:val="007B61FA"/>
    <w:rsid w:val="007B68CC"/>
    <w:rsid w:val="007C25D5"/>
    <w:rsid w:val="007C3EE0"/>
    <w:rsid w:val="007C5931"/>
    <w:rsid w:val="007C6445"/>
    <w:rsid w:val="007D157F"/>
    <w:rsid w:val="007E4692"/>
    <w:rsid w:val="007E6FD2"/>
    <w:rsid w:val="007E761A"/>
    <w:rsid w:val="007F2C13"/>
    <w:rsid w:val="008113AE"/>
    <w:rsid w:val="00820775"/>
    <w:rsid w:val="00834512"/>
    <w:rsid w:val="008378A0"/>
    <w:rsid w:val="008405BE"/>
    <w:rsid w:val="00840BAC"/>
    <w:rsid w:val="00846714"/>
    <w:rsid w:val="00850109"/>
    <w:rsid w:val="00854E06"/>
    <w:rsid w:val="00857C5B"/>
    <w:rsid w:val="00872F65"/>
    <w:rsid w:val="0087331F"/>
    <w:rsid w:val="0087587B"/>
    <w:rsid w:val="00883A45"/>
    <w:rsid w:val="00886E83"/>
    <w:rsid w:val="00890CFF"/>
    <w:rsid w:val="008A51E5"/>
    <w:rsid w:val="008A6186"/>
    <w:rsid w:val="008A6DD3"/>
    <w:rsid w:val="008B0A90"/>
    <w:rsid w:val="008B1F90"/>
    <w:rsid w:val="008B2A23"/>
    <w:rsid w:val="008B73CC"/>
    <w:rsid w:val="008B7CA2"/>
    <w:rsid w:val="008C1550"/>
    <w:rsid w:val="008C6F25"/>
    <w:rsid w:val="008D2190"/>
    <w:rsid w:val="008D31BD"/>
    <w:rsid w:val="008D5B51"/>
    <w:rsid w:val="008D67B0"/>
    <w:rsid w:val="008D70C9"/>
    <w:rsid w:val="008E4C81"/>
    <w:rsid w:val="008E4E9B"/>
    <w:rsid w:val="008E6E84"/>
    <w:rsid w:val="0090100C"/>
    <w:rsid w:val="00903F8F"/>
    <w:rsid w:val="00917C34"/>
    <w:rsid w:val="00921106"/>
    <w:rsid w:val="00925D05"/>
    <w:rsid w:val="009304FC"/>
    <w:rsid w:val="00930E34"/>
    <w:rsid w:val="009316EB"/>
    <w:rsid w:val="00934C2F"/>
    <w:rsid w:val="00935929"/>
    <w:rsid w:val="00940EC7"/>
    <w:rsid w:val="00942033"/>
    <w:rsid w:val="00946794"/>
    <w:rsid w:val="009467F3"/>
    <w:rsid w:val="00953642"/>
    <w:rsid w:val="00954209"/>
    <w:rsid w:val="0095590F"/>
    <w:rsid w:val="00955A8D"/>
    <w:rsid w:val="00957D7D"/>
    <w:rsid w:val="00960273"/>
    <w:rsid w:val="009739B6"/>
    <w:rsid w:val="009748D1"/>
    <w:rsid w:val="00991EC2"/>
    <w:rsid w:val="00996492"/>
    <w:rsid w:val="009A4341"/>
    <w:rsid w:val="009A4D91"/>
    <w:rsid w:val="009A619F"/>
    <w:rsid w:val="009A7AFD"/>
    <w:rsid w:val="009B2850"/>
    <w:rsid w:val="009B2DCF"/>
    <w:rsid w:val="009B4F87"/>
    <w:rsid w:val="009C2853"/>
    <w:rsid w:val="009C3C94"/>
    <w:rsid w:val="009C7CE2"/>
    <w:rsid w:val="009D46D6"/>
    <w:rsid w:val="009E0435"/>
    <w:rsid w:val="009E3274"/>
    <w:rsid w:val="009E7C13"/>
    <w:rsid w:val="009F2331"/>
    <w:rsid w:val="009F3063"/>
    <w:rsid w:val="009F5C5C"/>
    <w:rsid w:val="00A03F91"/>
    <w:rsid w:val="00A05AFB"/>
    <w:rsid w:val="00A11E1E"/>
    <w:rsid w:val="00A1296B"/>
    <w:rsid w:val="00A14464"/>
    <w:rsid w:val="00A15B0A"/>
    <w:rsid w:val="00A16780"/>
    <w:rsid w:val="00A173DE"/>
    <w:rsid w:val="00A17DC8"/>
    <w:rsid w:val="00A208F7"/>
    <w:rsid w:val="00A25FF6"/>
    <w:rsid w:val="00A3526F"/>
    <w:rsid w:val="00A456FD"/>
    <w:rsid w:val="00A47F2F"/>
    <w:rsid w:val="00A54D5B"/>
    <w:rsid w:val="00A5595B"/>
    <w:rsid w:val="00A5736B"/>
    <w:rsid w:val="00A57D60"/>
    <w:rsid w:val="00A653EF"/>
    <w:rsid w:val="00A670BB"/>
    <w:rsid w:val="00A75CC8"/>
    <w:rsid w:val="00A76ECB"/>
    <w:rsid w:val="00A77CFB"/>
    <w:rsid w:val="00A90E8E"/>
    <w:rsid w:val="00AA2E26"/>
    <w:rsid w:val="00AA363B"/>
    <w:rsid w:val="00AA3CDE"/>
    <w:rsid w:val="00AB0056"/>
    <w:rsid w:val="00AB2816"/>
    <w:rsid w:val="00AC11A1"/>
    <w:rsid w:val="00AD09C4"/>
    <w:rsid w:val="00AD0B4A"/>
    <w:rsid w:val="00AD4500"/>
    <w:rsid w:val="00AD5E22"/>
    <w:rsid w:val="00AE3108"/>
    <w:rsid w:val="00AE6D91"/>
    <w:rsid w:val="00B048D1"/>
    <w:rsid w:val="00B111F5"/>
    <w:rsid w:val="00B15CD3"/>
    <w:rsid w:val="00B209BD"/>
    <w:rsid w:val="00B236D0"/>
    <w:rsid w:val="00B32220"/>
    <w:rsid w:val="00B35C97"/>
    <w:rsid w:val="00B3712D"/>
    <w:rsid w:val="00B461F4"/>
    <w:rsid w:val="00B52B9B"/>
    <w:rsid w:val="00B56A8E"/>
    <w:rsid w:val="00B60466"/>
    <w:rsid w:val="00B71D16"/>
    <w:rsid w:val="00B72C3B"/>
    <w:rsid w:val="00B75DB1"/>
    <w:rsid w:val="00B80663"/>
    <w:rsid w:val="00B80894"/>
    <w:rsid w:val="00B80D91"/>
    <w:rsid w:val="00B8750C"/>
    <w:rsid w:val="00B92585"/>
    <w:rsid w:val="00BA36CC"/>
    <w:rsid w:val="00BA384E"/>
    <w:rsid w:val="00BA560A"/>
    <w:rsid w:val="00BA60CC"/>
    <w:rsid w:val="00BA6885"/>
    <w:rsid w:val="00BB1184"/>
    <w:rsid w:val="00BB1BAC"/>
    <w:rsid w:val="00BB61FB"/>
    <w:rsid w:val="00BC0493"/>
    <w:rsid w:val="00BC0B04"/>
    <w:rsid w:val="00BC14B4"/>
    <w:rsid w:val="00BC1D54"/>
    <w:rsid w:val="00BC2599"/>
    <w:rsid w:val="00BC73A7"/>
    <w:rsid w:val="00BD5FB8"/>
    <w:rsid w:val="00BD7893"/>
    <w:rsid w:val="00BF1801"/>
    <w:rsid w:val="00BF24B6"/>
    <w:rsid w:val="00BF2782"/>
    <w:rsid w:val="00BF3F79"/>
    <w:rsid w:val="00C01E05"/>
    <w:rsid w:val="00C03F5F"/>
    <w:rsid w:val="00C0645C"/>
    <w:rsid w:val="00C07569"/>
    <w:rsid w:val="00C21093"/>
    <w:rsid w:val="00C22AEC"/>
    <w:rsid w:val="00C2325E"/>
    <w:rsid w:val="00C23BBB"/>
    <w:rsid w:val="00C24A9A"/>
    <w:rsid w:val="00C257F2"/>
    <w:rsid w:val="00C47219"/>
    <w:rsid w:val="00C50B50"/>
    <w:rsid w:val="00C5289E"/>
    <w:rsid w:val="00C54173"/>
    <w:rsid w:val="00C6080F"/>
    <w:rsid w:val="00C70B7E"/>
    <w:rsid w:val="00C750CF"/>
    <w:rsid w:val="00C75259"/>
    <w:rsid w:val="00C839F4"/>
    <w:rsid w:val="00C849D1"/>
    <w:rsid w:val="00C8555D"/>
    <w:rsid w:val="00C90D4D"/>
    <w:rsid w:val="00C94944"/>
    <w:rsid w:val="00CA4CCD"/>
    <w:rsid w:val="00CA6BA4"/>
    <w:rsid w:val="00CB0671"/>
    <w:rsid w:val="00CB3395"/>
    <w:rsid w:val="00CC0FD0"/>
    <w:rsid w:val="00CC124F"/>
    <w:rsid w:val="00CC2AB2"/>
    <w:rsid w:val="00CC2CC7"/>
    <w:rsid w:val="00CC3F73"/>
    <w:rsid w:val="00CC6F9C"/>
    <w:rsid w:val="00CD08F2"/>
    <w:rsid w:val="00CD2A0D"/>
    <w:rsid w:val="00CD7FF1"/>
    <w:rsid w:val="00CE1C09"/>
    <w:rsid w:val="00CE1DB9"/>
    <w:rsid w:val="00CE4849"/>
    <w:rsid w:val="00CE6CE9"/>
    <w:rsid w:val="00CF1478"/>
    <w:rsid w:val="00CF2D8C"/>
    <w:rsid w:val="00CF3727"/>
    <w:rsid w:val="00CF3E3F"/>
    <w:rsid w:val="00D00FA9"/>
    <w:rsid w:val="00D011BF"/>
    <w:rsid w:val="00D05682"/>
    <w:rsid w:val="00D1058B"/>
    <w:rsid w:val="00D14879"/>
    <w:rsid w:val="00D205DB"/>
    <w:rsid w:val="00D20FB2"/>
    <w:rsid w:val="00D21BBF"/>
    <w:rsid w:val="00D22161"/>
    <w:rsid w:val="00D23380"/>
    <w:rsid w:val="00D43075"/>
    <w:rsid w:val="00D47AC2"/>
    <w:rsid w:val="00D57F0D"/>
    <w:rsid w:val="00D601D1"/>
    <w:rsid w:val="00D60FCA"/>
    <w:rsid w:val="00D64E39"/>
    <w:rsid w:val="00D66C99"/>
    <w:rsid w:val="00D7128B"/>
    <w:rsid w:val="00D71386"/>
    <w:rsid w:val="00D724D5"/>
    <w:rsid w:val="00D72CA1"/>
    <w:rsid w:val="00D73A61"/>
    <w:rsid w:val="00D803D6"/>
    <w:rsid w:val="00D81EBF"/>
    <w:rsid w:val="00D83DD5"/>
    <w:rsid w:val="00D875FD"/>
    <w:rsid w:val="00D90B1D"/>
    <w:rsid w:val="00DA12FE"/>
    <w:rsid w:val="00DA1883"/>
    <w:rsid w:val="00DA2FFC"/>
    <w:rsid w:val="00DB2E09"/>
    <w:rsid w:val="00DB747A"/>
    <w:rsid w:val="00DC29FC"/>
    <w:rsid w:val="00DC5B32"/>
    <w:rsid w:val="00DD204E"/>
    <w:rsid w:val="00DD2618"/>
    <w:rsid w:val="00DD407F"/>
    <w:rsid w:val="00DE28B2"/>
    <w:rsid w:val="00DE3467"/>
    <w:rsid w:val="00DF5AAB"/>
    <w:rsid w:val="00DF79E7"/>
    <w:rsid w:val="00E03998"/>
    <w:rsid w:val="00E1101D"/>
    <w:rsid w:val="00E14113"/>
    <w:rsid w:val="00E1461E"/>
    <w:rsid w:val="00E14C61"/>
    <w:rsid w:val="00E306A9"/>
    <w:rsid w:val="00E35E4C"/>
    <w:rsid w:val="00E36CA4"/>
    <w:rsid w:val="00E405FB"/>
    <w:rsid w:val="00E42294"/>
    <w:rsid w:val="00E455F3"/>
    <w:rsid w:val="00E46C16"/>
    <w:rsid w:val="00E50EEF"/>
    <w:rsid w:val="00E5128A"/>
    <w:rsid w:val="00E51C36"/>
    <w:rsid w:val="00E54271"/>
    <w:rsid w:val="00E651F0"/>
    <w:rsid w:val="00E712C8"/>
    <w:rsid w:val="00E759B3"/>
    <w:rsid w:val="00E80359"/>
    <w:rsid w:val="00E9155E"/>
    <w:rsid w:val="00E9157D"/>
    <w:rsid w:val="00E96BEB"/>
    <w:rsid w:val="00EA2327"/>
    <w:rsid w:val="00EA3345"/>
    <w:rsid w:val="00EA52AF"/>
    <w:rsid w:val="00EA6094"/>
    <w:rsid w:val="00EB0E43"/>
    <w:rsid w:val="00EB2D8A"/>
    <w:rsid w:val="00EB5FA0"/>
    <w:rsid w:val="00EB60B9"/>
    <w:rsid w:val="00EB61C9"/>
    <w:rsid w:val="00EB6B1C"/>
    <w:rsid w:val="00EC31BC"/>
    <w:rsid w:val="00EC4C33"/>
    <w:rsid w:val="00EC531B"/>
    <w:rsid w:val="00EC53D3"/>
    <w:rsid w:val="00ED191C"/>
    <w:rsid w:val="00ED7B2C"/>
    <w:rsid w:val="00EE0C1A"/>
    <w:rsid w:val="00EE408D"/>
    <w:rsid w:val="00EE5FAD"/>
    <w:rsid w:val="00EF4E91"/>
    <w:rsid w:val="00F00D7B"/>
    <w:rsid w:val="00F03FA4"/>
    <w:rsid w:val="00F16677"/>
    <w:rsid w:val="00F2164A"/>
    <w:rsid w:val="00F22745"/>
    <w:rsid w:val="00F344C2"/>
    <w:rsid w:val="00F349A8"/>
    <w:rsid w:val="00F4380A"/>
    <w:rsid w:val="00F450EF"/>
    <w:rsid w:val="00F461D0"/>
    <w:rsid w:val="00F52C95"/>
    <w:rsid w:val="00F63FC9"/>
    <w:rsid w:val="00F64E24"/>
    <w:rsid w:val="00F864C1"/>
    <w:rsid w:val="00F92240"/>
    <w:rsid w:val="00F92FE7"/>
    <w:rsid w:val="00FA3E3B"/>
    <w:rsid w:val="00FB172D"/>
    <w:rsid w:val="00FB2CAA"/>
    <w:rsid w:val="00FB3D03"/>
    <w:rsid w:val="00FB7C91"/>
    <w:rsid w:val="00FC13CE"/>
    <w:rsid w:val="00FC41B0"/>
    <w:rsid w:val="00FC654C"/>
    <w:rsid w:val="00FD6BE2"/>
    <w:rsid w:val="00FD71AB"/>
    <w:rsid w:val="00FE22D6"/>
    <w:rsid w:val="00FE3BC0"/>
    <w:rsid w:val="00FF692C"/>
    <w:rsid w:val="00FF785F"/>
    <w:rsid w:val="01220BB6"/>
    <w:rsid w:val="026945E7"/>
    <w:rsid w:val="043938A5"/>
    <w:rsid w:val="05CE037D"/>
    <w:rsid w:val="07244697"/>
    <w:rsid w:val="085B147D"/>
    <w:rsid w:val="09A0447E"/>
    <w:rsid w:val="0B092376"/>
    <w:rsid w:val="0E2C6EF6"/>
    <w:rsid w:val="0E435B86"/>
    <w:rsid w:val="0FBA45A1"/>
    <w:rsid w:val="10782EF1"/>
    <w:rsid w:val="10C36704"/>
    <w:rsid w:val="10CF73C2"/>
    <w:rsid w:val="1149604D"/>
    <w:rsid w:val="128B3B8A"/>
    <w:rsid w:val="129904F4"/>
    <w:rsid w:val="13956B63"/>
    <w:rsid w:val="14145AA8"/>
    <w:rsid w:val="16641394"/>
    <w:rsid w:val="168F5939"/>
    <w:rsid w:val="170B7F4E"/>
    <w:rsid w:val="18150058"/>
    <w:rsid w:val="187D07CA"/>
    <w:rsid w:val="18A26DFF"/>
    <w:rsid w:val="18D617D8"/>
    <w:rsid w:val="190D5A95"/>
    <w:rsid w:val="19916702"/>
    <w:rsid w:val="19CF2302"/>
    <w:rsid w:val="1A84057F"/>
    <w:rsid w:val="1AEA4AE0"/>
    <w:rsid w:val="1BEF4B63"/>
    <w:rsid w:val="1C303166"/>
    <w:rsid w:val="1E634ABE"/>
    <w:rsid w:val="1E9A600D"/>
    <w:rsid w:val="1F3C5008"/>
    <w:rsid w:val="20153BE1"/>
    <w:rsid w:val="20703354"/>
    <w:rsid w:val="214C72FC"/>
    <w:rsid w:val="22075076"/>
    <w:rsid w:val="221008D5"/>
    <w:rsid w:val="22BA5184"/>
    <w:rsid w:val="25366A7A"/>
    <w:rsid w:val="257E383C"/>
    <w:rsid w:val="25916A7C"/>
    <w:rsid w:val="26196460"/>
    <w:rsid w:val="261B1121"/>
    <w:rsid w:val="262B37F0"/>
    <w:rsid w:val="28B237FC"/>
    <w:rsid w:val="29E16DC0"/>
    <w:rsid w:val="2B6E2BCF"/>
    <w:rsid w:val="2BE772F2"/>
    <w:rsid w:val="2C877E60"/>
    <w:rsid w:val="2C8D5F82"/>
    <w:rsid w:val="2D0D2363"/>
    <w:rsid w:val="30635382"/>
    <w:rsid w:val="30D320A6"/>
    <w:rsid w:val="320B684D"/>
    <w:rsid w:val="330669CE"/>
    <w:rsid w:val="36422FDB"/>
    <w:rsid w:val="38A41DCA"/>
    <w:rsid w:val="38CA794B"/>
    <w:rsid w:val="39425391"/>
    <w:rsid w:val="3A2E077F"/>
    <w:rsid w:val="3B832E5F"/>
    <w:rsid w:val="3C3E1309"/>
    <w:rsid w:val="3C9E59B5"/>
    <w:rsid w:val="3CAA6426"/>
    <w:rsid w:val="3FEC75BD"/>
    <w:rsid w:val="411D3CA2"/>
    <w:rsid w:val="41942FCA"/>
    <w:rsid w:val="423A5BE3"/>
    <w:rsid w:val="42436393"/>
    <w:rsid w:val="43FF31E3"/>
    <w:rsid w:val="464A65D9"/>
    <w:rsid w:val="47382939"/>
    <w:rsid w:val="473D7C0D"/>
    <w:rsid w:val="48CF364E"/>
    <w:rsid w:val="49BE0964"/>
    <w:rsid w:val="4AB85E98"/>
    <w:rsid w:val="4AB904B0"/>
    <w:rsid w:val="4C571EAC"/>
    <w:rsid w:val="4CB27094"/>
    <w:rsid w:val="4F4620C6"/>
    <w:rsid w:val="4F6614A8"/>
    <w:rsid w:val="506E5A0F"/>
    <w:rsid w:val="51021DA9"/>
    <w:rsid w:val="520A6C0D"/>
    <w:rsid w:val="52A27CFF"/>
    <w:rsid w:val="52B31D43"/>
    <w:rsid w:val="533F3CCA"/>
    <w:rsid w:val="547E4CB2"/>
    <w:rsid w:val="549E2B58"/>
    <w:rsid w:val="557975C4"/>
    <w:rsid w:val="55CB5F0D"/>
    <w:rsid w:val="56A6001C"/>
    <w:rsid w:val="5A034BD0"/>
    <w:rsid w:val="5A337C21"/>
    <w:rsid w:val="5ABD5B2C"/>
    <w:rsid w:val="5BBB2546"/>
    <w:rsid w:val="5D977361"/>
    <w:rsid w:val="5E175E2C"/>
    <w:rsid w:val="5FE377F5"/>
    <w:rsid w:val="61FF41AE"/>
    <w:rsid w:val="64026F63"/>
    <w:rsid w:val="65E92B0F"/>
    <w:rsid w:val="676B4298"/>
    <w:rsid w:val="68BA019B"/>
    <w:rsid w:val="691E189E"/>
    <w:rsid w:val="6AA20A66"/>
    <w:rsid w:val="6BA02A3F"/>
    <w:rsid w:val="6BF9122A"/>
    <w:rsid w:val="6D411A41"/>
    <w:rsid w:val="6E862BC8"/>
    <w:rsid w:val="6F1F29DA"/>
    <w:rsid w:val="6F3E4BFE"/>
    <w:rsid w:val="71022E64"/>
    <w:rsid w:val="72773C2C"/>
    <w:rsid w:val="794C38BE"/>
    <w:rsid w:val="7A532428"/>
    <w:rsid w:val="7ADE13AA"/>
    <w:rsid w:val="7B5E1511"/>
    <w:rsid w:val="7CB82EF9"/>
    <w:rsid w:val="7D2002FA"/>
    <w:rsid w:val="7EBB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qFormat="1" w:unhideWhenUsed="0" w:uiPriority="0" w:semiHidden="0"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pPr>
    <w:rPr>
      <w:rFonts w:ascii="Times New Roman" w:hAnsi="Times New Roman" w:eastAsia="Arial Unicode MS" w:cs="Arial Unicode MS"/>
      <w:kern w:val="1"/>
      <w:sz w:val="24"/>
      <w:szCs w:val="24"/>
      <w:lang w:val="it-IT" w:eastAsia="hi-IN" w:bidi="hi-IN"/>
    </w:rPr>
  </w:style>
  <w:style w:type="paragraph" w:styleId="2">
    <w:name w:val="heading 1"/>
    <w:basedOn w:val="1"/>
    <w:next w:val="1"/>
    <w:link w:val="21"/>
    <w:qFormat/>
    <w:uiPriority w:val="9"/>
    <w:pPr>
      <w:keepNext/>
      <w:widowControl/>
      <w:suppressAutoHyphens w:val="0"/>
      <w:spacing w:before="240" w:after="60" w:line="276" w:lineRule="auto"/>
      <w:outlineLvl w:val="0"/>
    </w:pPr>
    <w:rPr>
      <w:rFonts w:ascii="Calibri Light" w:hAnsi="Calibri Light" w:eastAsia="Times New Roman" w:cs="Times New Roman"/>
      <w:b/>
      <w:bCs/>
      <w:kern w:val="32"/>
      <w:sz w:val="32"/>
      <w:szCs w:val="32"/>
      <w:lang w:eastAsia="en-US" w:bidi="ar-SA"/>
    </w:rPr>
  </w:style>
  <w:style w:type="paragraph" w:styleId="3">
    <w:name w:val="heading 2"/>
    <w:basedOn w:val="1"/>
    <w:next w:val="1"/>
    <w:link w:val="22"/>
    <w:unhideWhenUsed/>
    <w:qFormat/>
    <w:uiPriority w:val="9"/>
    <w:pPr>
      <w:keepNext/>
      <w:spacing w:before="240" w:after="60"/>
      <w:outlineLvl w:val="1"/>
    </w:pPr>
    <w:rPr>
      <w:rFonts w:ascii="Cambria" w:hAnsi="Cambria" w:eastAsia="Times New Roman" w:cs="Mangal"/>
      <w:b/>
      <w:bCs/>
      <w:i/>
      <w:iCs/>
      <w:sz w:val="28"/>
      <w:szCs w:val="25"/>
    </w:rPr>
  </w:style>
  <w:style w:type="paragraph" w:styleId="4">
    <w:name w:val="heading 3"/>
    <w:basedOn w:val="1"/>
    <w:next w:val="1"/>
    <w:link w:val="23"/>
    <w:unhideWhenUsed/>
    <w:qFormat/>
    <w:uiPriority w:val="9"/>
    <w:pPr>
      <w:keepNext/>
      <w:widowControl/>
      <w:suppressAutoHyphens w:val="0"/>
      <w:spacing w:before="240" w:after="60" w:line="276" w:lineRule="auto"/>
      <w:outlineLvl w:val="2"/>
    </w:pPr>
    <w:rPr>
      <w:rFonts w:ascii="Calibri Light" w:hAnsi="Calibri Light" w:eastAsia="Times New Roman" w:cs="Times New Roman"/>
      <w:b/>
      <w:bCs/>
      <w:kern w:val="0"/>
      <w:sz w:val="26"/>
      <w:szCs w:val="26"/>
      <w:lang w:eastAsia="en-US" w:bidi="ar-SA"/>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link w:val="24"/>
    <w:unhideWhenUsed/>
    <w:qFormat/>
    <w:uiPriority w:val="99"/>
    <w:pPr>
      <w:widowControl/>
      <w:suppressAutoHyphens w:val="0"/>
    </w:pPr>
    <w:rPr>
      <w:rFonts w:ascii="Segoe UI" w:hAnsi="Segoe UI" w:eastAsia="Calibri" w:cs="Segoe UI"/>
      <w:kern w:val="0"/>
      <w:sz w:val="18"/>
      <w:szCs w:val="18"/>
      <w:lang w:eastAsia="en-US" w:bidi="ar-SA"/>
    </w:rPr>
  </w:style>
  <w:style w:type="paragraph" w:styleId="8">
    <w:name w:val="Body Text"/>
    <w:basedOn w:val="1"/>
    <w:qFormat/>
    <w:uiPriority w:val="0"/>
    <w:pPr>
      <w:spacing w:after="120"/>
      <w:ind w:left="283" w:hanging="283"/>
    </w:pPr>
  </w:style>
  <w:style w:type="character" w:styleId="9">
    <w:name w:val="Emphasis"/>
    <w:qFormat/>
    <w:uiPriority w:val="20"/>
    <w:rPr>
      <w:i/>
      <w:iCs/>
    </w:rPr>
  </w:style>
  <w:style w:type="character" w:styleId="10">
    <w:name w:val="endnote reference"/>
    <w:qFormat/>
    <w:uiPriority w:val="0"/>
    <w:rPr>
      <w:vertAlign w:val="superscript"/>
    </w:rPr>
  </w:style>
  <w:style w:type="character" w:styleId="11">
    <w:name w:val="FollowedHyperlink"/>
    <w:basedOn w:val="5"/>
    <w:unhideWhenUsed/>
    <w:qFormat/>
    <w:uiPriority w:val="99"/>
    <w:rPr>
      <w:color w:val="800080"/>
      <w:u w:val="single"/>
    </w:rPr>
  </w:style>
  <w:style w:type="paragraph" w:styleId="12">
    <w:name w:val="footer"/>
    <w:basedOn w:val="1"/>
    <w:link w:val="25"/>
    <w:unhideWhenUsed/>
    <w:qFormat/>
    <w:uiPriority w:val="99"/>
    <w:pPr>
      <w:tabs>
        <w:tab w:val="center" w:pos="4819"/>
        <w:tab w:val="right" w:pos="9638"/>
      </w:tabs>
    </w:pPr>
    <w:rPr>
      <w:rFonts w:cs="Mangal"/>
      <w:szCs w:val="21"/>
    </w:rPr>
  </w:style>
  <w:style w:type="character" w:styleId="13">
    <w:name w:val="footnote reference"/>
    <w:basedOn w:val="5"/>
    <w:qFormat/>
    <w:uiPriority w:val="99"/>
    <w:rPr>
      <w:vertAlign w:val="superscript"/>
    </w:rPr>
  </w:style>
  <w:style w:type="paragraph" w:styleId="14">
    <w:name w:val="footnote text"/>
    <w:basedOn w:val="1"/>
    <w:link w:val="26"/>
    <w:qFormat/>
    <w:uiPriority w:val="99"/>
    <w:pPr>
      <w:suppressLineNumbers/>
      <w:ind w:left="283" w:hanging="283"/>
    </w:pPr>
    <w:rPr>
      <w:sz w:val="20"/>
      <w:szCs w:val="20"/>
    </w:rPr>
  </w:style>
  <w:style w:type="paragraph" w:styleId="15">
    <w:name w:val="header"/>
    <w:basedOn w:val="1"/>
    <w:link w:val="27"/>
    <w:unhideWhenUsed/>
    <w:qFormat/>
    <w:uiPriority w:val="99"/>
    <w:pPr>
      <w:tabs>
        <w:tab w:val="center" w:pos="4819"/>
        <w:tab w:val="right" w:pos="9638"/>
      </w:tabs>
    </w:pPr>
    <w:rPr>
      <w:rFonts w:cs="Mangal"/>
      <w:szCs w:val="21"/>
    </w:rPr>
  </w:style>
  <w:style w:type="character" w:styleId="16">
    <w:name w:val="Hyperlink"/>
    <w:basedOn w:val="5"/>
    <w:qFormat/>
    <w:uiPriority w:val="99"/>
    <w:rPr>
      <w:color w:val="000080"/>
      <w:u w:val="single"/>
    </w:rPr>
  </w:style>
  <w:style w:type="paragraph" w:styleId="17">
    <w:name w:val="List"/>
    <w:basedOn w:val="8"/>
    <w:qFormat/>
    <w:uiPriority w:val="0"/>
  </w:style>
  <w:style w:type="paragraph" w:styleId="18">
    <w:name w:val="Normal (Web)"/>
    <w:basedOn w:val="1"/>
    <w:unhideWhenUsed/>
    <w:qFormat/>
    <w:uiPriority w:val="99"/>
    <w:rPr>
      <w:rFonts w:cs="Mangal"/>
      <w:szCs w:val="21"/>
    </w:rPr>
  </w:style>
  <w:style w:type="character" w:styleId="19">
    <w:name w:val="Strong"/>
    <w:qFormat/>
    <w:uiPriority w:val="22"/>
    <w:rPr>
      <w:b/>
      <w:bCs/>
    </w:rPr>
  </w:style>
  <w:style w:type="table" w:styleId="20">
    <w:name w:val="Table Grid"/>
    <w:basedOn w:val="6"/>
    <w:unhideWhenUsed/>
    <w:qFormat/>
    <w:uiPriority w:val="59"/>
    <w:rPr>
      <w:rFonts w:ascii="Calibri" w:hAnsi="Calibri"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Titolo 1 Carattere"/>
    <w:link w:val="2"/>
    <w:qFormat/>
    <w:uiPriority w:val="9"/>
    <w:rPr>
      <w:rFonts w:ascii="Calibri Light" w:hAnsi="Calibri Light"/>
      <w:b/>
      <w:bCs/>
      <w:kern w:val="32"/>
      <w:sz w:val="32"/>
      <w:szCs w:val="32"/>
      <w:lang w:eastAsia="en-US"/>
    </w:rPr>
  </w:style>
  <w:style w:type="character" w:customStyle="1" w:styleId="22">
    <w:name w:val="Titolo 2 Carattere"/>
    <w:link w:val="3"/>
    <w:semiHidden/>
    <w:qFormat/>
    <w:uiPriority w:val="9"/>
    <w:rPr>
      <w:rFonts w:ascii="Cambria" w:hAnsi="Cambria" w:eastAsia="Times New Roman" w:cs="Mangal"/>
      <w:b/>
      <w:bCs/>
      <w:i/>
      <w:iCs/>
      <w:kern w:val="1"/>
      <w:sz w:val="28"/>
      <w:szCs w:val="25"/>
      <w:lang w:eastAsia="hi-IN" w:bidi="hi-IN"/>
    </w:rPr>
  </w:style>
  <w:style w:type="character" w:customStyle="1" w:styleId="23">
    <w:name w:val="Titolo 3 Carattere"/>
    <w:link w:val="4"/>
    <w:qFormat/>
    <w:uiPriority w:val="9"/>
    <w:rPr>
      <w:rFonts w:ascii="Calibri Light" w:hAnsi="Calibri Light"/>
      <w:b/>
      <w:bCs/>
      <w:sz w:val="26"/>
      <w:szCs w:val="26"/>
      <w:lang w:eastAsia="en-US"/>
    </w:rPr>
  </w:style>
  <w:style w:type="character" w:customStyle="1" w:styleId="24">
    <w:name w:val="Testo fumetto Carattere"/>
    <w:link w:val="7"/>
    <w:semiHidden/>
    <w:qFormat/>
    <w:uiPriority w:val="99"/>
    <w:rPr>
      <w:rFonts w:ascii="Segoe UI" w:hAnsi="Segoe UI" w:eastAsia="Calibri" w:cs="Segoe UI"/>
      <w:sz w:val="18"/>
      <w:szCs w:val="18"/>
      <w:lang w:eastAsia="en-US"/>
    </w:rPr>
  </w:style>
  <w:style w:type="character" w:customStyle="1" w:styleId="25">
    <w:name w:val="Piè di pagina Carattere"/>
    <w:link w:val="12"/>
    <w:qFormat/>
    <w:uiPriority w:val="99"/>
    <w:rPr>
      <w:rFonts w:eastAsia="Arial Unicode MS" w:cs="Mangal"/>
      <w:kern w:val="1"/>
      <w:sz w:val="24"/>
      <w:szCs w:val="21"/>
      <w:lang w:eastAsia="hi-IN" w:bidi="hi-IN"/>
    </w:rPr>
  </w:style>
  <w:style w:type="character" w:customStyle="1" w:styleId="26">
    <w:name w:val="Testo nota a piè di pagina Carattere"/>
    <w:link w:val="14"/>
    <w:qFormat/>
    <w:uiPriority w:val="99"/>
    <w:rPr>
      <w:rFonts w:eastAsia="Arial Unicode MS" w:cs="Arial Unicode MS"/>
      <w:kern w:val="1"/>
      <w:lang w:eastAsia="hi-IN" w:bidi="hi-IN"/>
    </w:rPr>
  </w:style>
  <w:style w:type="character" w:customStyle="1" w:styleId="27">
    <w:name w:val="Intestazione Carattere"/>
    <w:link w:val="15"/>
    <w:qFormat/>
    <w:uiPriority w:val="99"/>
    <w:rPr>
      <w:rFonts w:eastAsia="Arial Unicode MS" w:cs="Mangal"/>
      <w:kern w:val="1"/>
      <w:sz w:val="24"/>
      <w:szCs w:val="21"/>
      <w:lang w:eastAsia="hi-IN" w:bidi="hi-IN"/>
    </w:rPr>
  </w:style>
  <w:style w:type="character" w:customStyle="1" w:styleId="28">
    <w:name w:val="Carattere della nota"/>
    <w:qFormat/>
    <w:uiPriority w:val="0"/>
  </w:style>
  <w:style w:type="character" w:customStyle="1" w:styleId="29">
    <w:name w:val="Carattere di numerazione"/>
    <w:qFormat/>
    <w:uiPriority w:val="0"/>
  </w:style>
  <w:style w:type="character" w:customStyle="1" w:styleId="30">
    <w:name w:val="Carattere nota di chiusura"/>
    <w:qFormat/>
    <w:uiPriority w:val="0"/>
    <w:rPr>
      <w:vertAlign w:val="superscript"/>
    </w:rPr>
  </w:style>
  <w:style w:type="character" w:customStyle="1" w:styleId="31">
    <w:name w:val="WW-Carattere nota di chiusura"/>
    <w:qFormat/>
    <w:uiPriority w:val="0"/>
  </w:style>
  <w:style w:type="paragraph" w:customStyle="1" w:styleId="32">
    <w:name w:val="Intestazione1"/>
    <w:basedOn w:val="1"/>
    <w:next w:val="8"/>
    <w:qFormat/>
    <w:uiPriority w:val="0"/>
    <w:pPr>
      <w:keepNext/>
      <w:spacing w:before="240" w:after="120"/>
    </w:pPr>
    <w:rPr>
      <w:rFonts w:ascii="Arial" w:hAnsi="Arial"/>
      <w:sz w:val="28"/>
      <w:szCs w:val="28"/>
    </w:rPr>
  </w:style>
  <w:style w:type="paragraph" w:customStyle="1" w:styleId="33">
    <w:name w:val="Didascalia1"/>
    <w:basedOn w:val="1"/>
    <w:qFormat/>
    <w:uiPriority w:val="0"/>
    <w:pPr>
      <w:suppressLineNumbers/>
      <w:spacing w:before="120" w:after="120"/>
    </w:pPr>
    <w:rPr>
      <w:i/>
      <w:iCs/>
    </w:rPr>
  </w:style>
  <w:style w:type="paragraph" w:customStyle="1" w:styleId="34">
    <w:name w:val="Indice"/>
    <w:basedOn w:val="1"/>
    <w:qFormat/>
    <w:uiPriority w:val="0"/>
    <w:pPr>
      <w:suppressLineNumbers/>
    </w:pPr>
  </w:style>
  <w:style w:type="paragraph" w:customStyle="1" w:styleId="35">
    <w:name w:val="sent_normal"/>
    <w:basedOn w:val="1"/>
    <w:qFormat/>
    <w:uiPriority w:val="0"/>
    <w:pPr>
      <w:widowControl/>
      <w:suppressAutoHyphens w:val="0"/>
      <w:spacing w:before="100" w:beforeAutospacing="1" w:after="100" w:afterAutospacing="1"/>
    </w:pPr>
    <w:rPr>
      <w:rFonts w:eastAsia="Times New Roman" w:cs="Times New Roman"/>
      <w:kern w:val="0"/>
      <w:lang w:eastAsia="it-IT" w:bidi="ar-SA"/>
    </w:rPr>
  </w:style>
  <w:style w:type="paragraph" w:customStyle="1" w:styleId="36">
    <w:name w:val="Default"/>
    <w:qFormat/>
    <w:uiPriority w:val="0"/>
    <w:pPr>
      <w:autoSpaceDE w:val="0"/>
      <w:autoSpaceDN w:val="0"/>
      <w:adjustRightInd w:val="0"/>
    </w:pPr>
    <w:rPr>
      <w:rFonts w:ascii="Times New Roman" w:hAnsi="Times New Roman" w:eastAsia="Times New Roman" w:cs="Times New Roman"/>
      <w:color w:val="000000"/>
      <w:sz w:val="24"/>
      <w:szCs w:val="24"/>
      <w:lang w:val="it-IT" w:eastAsia="it-IT" w:bidi="ar-SA"/>
    </w:rPr>
  </w:style>
  <w:style w:type="character" w:customStyle="1" w:styleId="37">
    <w:name w:val="_5yl5"/>
    <w:qFormat/>
    <w:uiPriority w:val="0"/>
  </w:style>
  <w:style w:type="character" w:customStyle="1" w:styleId="38">
    <w:name w:val="st"/>
    <w:qFormat/>
    <w:uiPriority w:val="0"/>
  </w:style>
  <w:style w:type="character" w:customStyle="1" w:styleId="39">
    <w:name w:val="ambitosistlegge"/>
    <w:qFormat/>
    <w:uiPriority w:val="0"/>
  </w:style>
  <w:style w:type="character" w:customStyle="1" w:styleId="40">
    <w:name w:val="highlight"/>
    <w:qFormat/>
    <w:uiPriority w:val="0"/>
  </w:style>
  <w:style w:type="paragraph" w:customStyle="1" w:styleId="41">
    <w:name w:val="dottge_nota"/>
    <w:basedOn w:val="1"/>
    <w:qFormat/>
    <w:uiPriority w:val="0"/>
    <w:pPr>
      <w:widowControl/>
      <w:suppressAutoHyphens w:val="0"/>
      <w:spacing w:before="100" w:beforeAutospacing="1" w:after="100" w:afterAutospacing="1"/>
    </w:pPr>
    <w:rPr>
      <w:rFonts w:ascii="Arial Unicode MS" w:hAnsi="Arial Unicode MS"/>
      <w:kern w:val="0"/>
      <w:lang w:eastAsia="it-IT" w:bidi="ar-SA"/>
    </w:rPr>
  </w:style>
  <w:style w:type="paragraph" w:customStyle="1" w:styleId="42">
    <w:name w:val="dottge_r1"/>
    <w:basedOn w:val="1"/>
    <w:qFormat/>
    <w:uiPriority w:val="0"/>
    <w:pPr>
      <w:widowControl/>
      <w:suppressAutoHyphens w:val="0"/>
      <w:spacing w:before="100" w:beforeAutospacing="1" w:after="100" w:afterAutospacing="1"/>
    </w:pPr>
    <w:rPr>
      <w:rFonts w:ascii="Arial Unicode MS" w:hAnsi="Arial Unicode MS"/>
      <w:kern w:val="0"/>
      <w:lang w:eastAsia="it-IT" w:bidi="ar-SA"/>
    </w:rPr>
  </w:style>
  <w:style w:type="paragraph" w:customStyle="1" w:styleId="43">
    <w:name w:val="dottge_fonte"/>
    <w:basedOn w:val="1"/>
    <w:qFormat/>
    <w:uiPriority w:val="0"/>
    <w:pPr>
      <w:widowControl/>
      <w:suppressAutoHyphens w:val="0"/>
      <w:spacing w:before="100" w:beforeAutospacing="1" w:after="100" w:afterAutospacing="1"/>
    </w:pPr>
    <w:rPr>
      <w:rFonts w:ascii="Arial Unicode MS" w:hAnsi="Arial Unicode MS"/>
      <w:kern w:val="0"/>
      <w:lang w:eastAsia="it-IT" w:bidi="ar-SA"/>
    </w:rPr>
  </w:style>
  <w:style w:type="paragraph" w:customStyle="1" w:styleId="44">
    <w:name w:val="dottge_titolo"/>
    <w:basedOn w:val="1"/>
    <w:qFormat/>
    <w:uiPriority w:val="0"/>
    <w:pPr>
      <w:widowControl/>
      <w:suppressAutoHyphens w:val="0"/>
      <w:spacing w:before="100" w:beforeAutospacing="1" w:after="100" w:afterAutospacing="1"/>
    </w:pPr>
    <w:rPr>
      <w:rFonts w:ascii="Arial Unicode MS" w:hAnsi="Arial Unicode MS"/>
      <w:kern w:val="0"/>
      <w:lang w:eastAsia="it-IT" w:bidi="ar-SA"/>
    </w:rPr>
  </w:style>
  <w:style w:type="character" w:customStyle="1" w:styleId="45">
    <w:name w:val="corsivo"/>
    <w:qFormat/>
    <w:uiPriority w:val="0"/>
    <w:rPr>
      <w:i/>
      <w:iCs/>
    </w:rPr>
  </w:style>
  <w:style w:type="character" w:customStyle="1" w:styleId="46">
    <w:name w:val="grassetto"/>
    <w:qFormat/>
    <w:uiPriority w:val="0"/>
    <w:rPr>
      <w:b/>
      <w:bCs/>
    </w:rPr>
  </w:style>
  <w:style w:type="character" w:customStyle="1" w:styleId="47">
    <w:name w:val="blackunder"/>
    <w:qFormat/>
    <w:uiPriority w:val="0"/>
  </w:style>
  <w:style w:type="table" w:customStyle="1" w:styleId="48">
    <w:name w:val="Griglia tabella1"/>
    <w:basedOn w:val="6"/>
    <w:qFormat/>
    <w:uiPriority w:val="5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5198</Words>
  <Characters>29269</Characters>
  <Lines>246</Lines>
  <Paragraphs>69</Paragraphs>
  <TotalTime>199</TotalTime>
  <ScaleCrop>false</ScaleCrop>
  <LinksUpToDate>false</LinksUpToDate>
  <CharactersWithSpaces>33987</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2022-12-19T09:28:00Z</dcterms:created>
  <dc:creator>Giuseppe Lisella</dc:creator>
  <cp:lastModifiedBy>StudioLegaleViola SLV</cp:lastModifiedBy>
  <cp:lastPrinted>2022-12-19T09:25:00Z</cp:lastPrinted>
  <dcterms:modified xsi:type="dcterms:W3CDTF">2022-12-19T15:23:15Z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24E9BC4AED9F4012801F0498EC73A430</vt:lpwstr>
  </property>
</Properties>
</file>