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SimSun" w:cs="Times New Roman"/>
          <w:kern w:val="3"/>
          <w:sz w:val="22"/>
          <w:szCs w:val="22"/>
          <w:lang w:eastAsia="en-US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drawing>
          <wp:inline distT="0" distB="0" distL="114300" distR="114300">
            <wp:extent cx="3562350" cy="495300"/>
            <wp:effectExtent l="0" t="0" r="0" b="0"/>
            <wp:docPr id="3" name="Immagine 1" descr="La Nuova Procedur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a Nuova Procedura Civi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  <w:t>Rivista scientifica di Diritto Processuale Civile</w:t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ISSN 2281-8693</w:t>
      </w:r>
    </w:p>
    <w:p>
      <w:pPr>
        <w:widowControl/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 xml:space="preserve">Pubblicazione del 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8</w:t>
      </w:r>
      <w:bookmarkStart w:id="0" w:name="_GoBack"/>
      <w:bookmarkEnd w:id="0"/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.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9</w:t>
      </w: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.202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2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 xml:space="preserve">La Nuova Procedura Civile, 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3</w:t>
      </w: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>, 202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2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i/>
          <w:color w:val="17365D"/>
          <w:kern w:val="0"/>
          <w:sz w:val="16"/>
          <w:szCs w:val="16"/>
          <w:lang w:eastAsia="it-IT" w:bidi="ar-SA"/>
        </w:rPr>
      </w:pPr>
    </w:p>
    <w:p>
      <w:pPr>
        <w:widowControl/>
        <w:pBdr>
          <w:bottom w:val="single" w:color="auto" w:sz="6" w:space="0"/>
        </w:pBdr>
        <w:suppressAutoHyphens w:val="0"/>
        <w:autoSpaceDN w:val="0"/>
        <w:ind w:left="142"/>
        <w:jc w:val="center"/>
      </w:pPr>
    </w:p>
    <w:p>
      <w:pPr>
        <w:widowControl/>
        <w:pBdr>
          <w:bottom w:val="single" w:color="auto" w:sz="6" w:space="0"/>
        </w:pBdr>
        <w:suppressAutoHyphens w:val="0"/>
        <w:autoSpaceDN w:val="0"/>
        <w:ind w:left="142"/>
        <w:jc w:val="center"/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</w:pPr>
      <w:r>
        <w:drawing>
          <wp:inline distT="0" distB="0" distL="114300" distR="114300">
            <wp:extent cx="684530" cy="798830"/>
            <wp:effectExtent l="0" t="0" r="1270" b="1270"/>
            <wp:docPr id="4" name="Picture 2" descr="20200228_10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20200228_1055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Times New Roman"/>
          <w:i/>
          <w:color w:val="C00000"/>
          <w:sz w:val="72"/>
          <w:szCs w:val="72"/>
        </w:rPr>
        <w:t>&amp;</w:t>
      </w:r>
      <w:r>
        <w:t xml:space="preserve"> </w:t>
      </w:r>
      <w:r>
        <w:rPr>
          <w:rFonts w:ascii="Verdana" w:hAnsi="Verdana"/>
          <w:color w:val="FF0000"/>
          <w:lang w:eastAsia="it-IT" w:bidi="ar-SA"/>
        </w:rPr>
        <w:drawing>
          <wp:inline distT="0" distB="0" distL="114300" distR="114300">
            <wp:extent cx="1466850" cy="333375"/>
            <wp:effectExtent l="0" t="0" r="0" b="9525"/>
            <wp:docPr id="5" name="Picture 3" descr="Log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Logo scritta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 w:cs="Times New Roman"/>
          <w:bCs/>
          <w:kern w:val="0"/>
          <w:sz w:val="22"/>
          <w:szCs w:val="22"/>
          <w:lang w:val="en-US" w:eastAsia="it-IT" w:bidi="ar-SA"/>
        </w:rPr>
      </w:pPr>
      <w:r>
        <w:rPr>
          <w:rFonts w:hint="default" w:ascii="Verdana" w:hAnsi="Verdana" w:eastAsia="Times New Roman" w:cs="Times New Roman"/>
          <w:b/>
          <w:bCs w:val="0"/>
          <w:color w:val="FF0000"/>
          <w:kern w:val="0"/>
          <w:sz w:val="22"/>
          <w:szCs w:val="22"/>
          <w:lang w:val="en-US" w:eastAsia="it-IT" w:bidi="ar-SA"/>
        </w:rPr>
        <w:t>Formula aggiornata al 8.9.2022</w:t>
      </w:r>
      <w:r>
        <w:rPr>
          <w:rFonts w:hint="default" w:ascii="Verdana" w:hAnsi="Verdana" w:eastAsia="Times New Roman" w:cs="Times New Roman"/>
          <w:bCs/>
          <w:color w:val="FF0000"/>
          <w:kern w:val="0"/>
          <w:sz w:val="22"/>
          <w:szCs w:val="22"/>
          <w:lang w:val="en-US" w:eastAsia="it-IT" w:bidi="ar-SA"/>
        </w:rPr>
        <w:t xml:space="preserve"> </w:t>
      </w:r>
      <w:r>
        <w:rPr>
          <w:rFonts w:hint="default" w:ascii="Verdana" w:hAnsi="Verdana" w:eastAsia="Times New Roman" w:cs="Times New Roman"/>
          <w:bCs/>
          <w:kern w:val="0"/>
          <w:sz w:val="22"/>
          <w:szCs w:val="22"/>
          <w:lang w:val="en-US" w:eastAsia="it-IT" w:bidi="ar-SA"/>
        </w:rPr>
        <w:t>(di Luigi VIOLA)</w:t>
      </w:r>
    </w:p>
    <w:p>
      <w:pPr>
        <w:widowControl/>
        <w:suppressAutoHyphens w:val="0"/>
        <w:jc w:val="both"/>
        <w:rPr>
          <w:rFonts w:hint="default" w:ascii="Verdana" w:hAnsi="Verdana" w:eastAsia="Times New Roman" w:cs="Times New Roman"/>
          <w:bCs/>
          <w:kern w:val="0"/>
          <w:sz w:val="22"/>
          <w:szCs w:val="22"/>
          <w:lang w:val="en-US"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TRIBUNALE DI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</w:t>
      </w: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/>
          <w:bCs w:val="0"/>
          <w:kern w:val="0"/>
          <w:sz w:val="22"/>
          <w:szCs w:val="22"/>
          <w:lang w:eastAsia="it-IT"/>
        </w:rPr>
        <w:t>ATTO DI CITAZIONE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</w:t>
      </w: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center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 xml:space="preserve">Il sottoscritto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Avv.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c.f.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...................iscritto al foro di.........con n.........pec............c.f.......p.iva...........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, rappresentante in giudizio e difensore del Sig.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, nato a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il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(c.f...............), residente a.............., Via ..............n. .............. ed elettivamente domiciliato presso lo studio del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lo scrivente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legale in .............., Via.............. n. .............., giusta procura alle liti in calce al presente atto,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ESPONE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 xml:space="preserve"> QUANTO SEGUE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FATTO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(esposizione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dei fatti rilevanti in modo “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chiaro e specifico</w:t>
      </w:r>
      <w:r>
        <w:rPr>
          <w:rStyle w:val="13"/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footnoteReference w:id="0"/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”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)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La domanda qui proposta è soggetta a condizione di procedibilità ex art. 5 d.lvo 28/2010; tale condizione è stata soddisfatta</w:t>
      </w:r>
      <w:r>
        <w:rPr>
          <w:rStyle w:val="13"/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footnoteReference w:id="1"/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, come risulta dal verbale negativo allegato (all. N....) datato ...con n........intercorso tra le parti......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DIRITTO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(esposizione delle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disposizioni di legge applicabili in modo “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chiaro e specifico</w:t>
      </w:r>
      <w:r>
        <w:rPr>
          <w:rStyle w:val="13"/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footnoteReference w:id="2"/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”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)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In via istruttoria si chiede.........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(indicare i documenti e gli altri mezzi di prova che si intende offrire in comunicazione).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Tanto premesso ed esposto,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si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CITA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il Sig.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 c.f. ............ residente a ............, Via ............ n.­............ a comparire  a costituirsi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nel termine di settanta</w:t>
      </w:r>
      <w:r>
        <w:rPr>
          <w:rStyle w:val="13"/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footnoteReference w:id="3"/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 xml:space="preserve"> giorni prima dell'udienza indicata ai sensi e nelle forme stabilite dall'articolo 166 e a comparire, nell'udienza indicata, dinanzi al giudice designato ai sensi dell'articolo 168-bis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, con l'avvertimento che la costituzione oltre i suddetti termini implica le decadenze di cui agli articoli 38 e 167, che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la difesa tecnica mediante avvocato è obbligatoria in tutti i giudizi davanti al tribunale, fatta eccezione per i casi previsti dall'articolo 86 o da leggi speciali, e che la parte, sussistendone i presupposti di legge, può presentare istanza per l'ammissione al patrocinio a spese dello Stato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Si presentano le seguenti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CONCLUSIONI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Voglia l’Ill.mo Tribunale adito, disattesa ogni contraria istanza ed eccezione: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 xml:space="preserve">in via principale: </w:t>
      </w:r>
      <w:r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  <w:t>...........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</w:pP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Con riserva di ulteriori domande 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d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 xml:space="preserve"> eccezioni che sono conseguenza della domanda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riconvenzionale o delle eccezioni del convenuto e chiedere di esserea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 xml:space="preserve">utorizzato a chiamare un terzo ai sensi degli articoli 106 e 269, terzo comma, del codice di procedura civile se l'esigenza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sorge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dalle difese del convenuto, nonche' in ogni caso precisare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modificare le domande, le eccezioni e le conclusioni gia' formulate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e, a pena di decadenza, indicare i nuovi mezzi di prova e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 xml:space="preserve"> 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eastAsia="it-IT"/>
        </w:rPr>
        <w:t>produzioni documentali</w:t>
      </w:r>
      <w:r>
        <w:rPr>
          <w:rFonts w:hint="default" w:ascii="Verdana" w:hAnsi="Verdana" w:eastAsia="Times New Roman"/>
          <w:bCs/>
          <w:i/>
          <w:iCs/>
          <w:kern w:val="0"/>
          <w:sz w:val="22"/>
          <w:szCs w:val="22"/>
          <w:lang w:val="en-US" w:eastAsia="it-IT"/>
        </w:rPr>
        <w:t>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val="en-US"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Ai sensi della L. n. 488/99 si dichiara che il valore del presente procedimento è pari ad euro_________ e l’importo del contributo unificato da versare all’atto di iscrizione a ruolo ammonta ad euro ________.</w:t>
      </w: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both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right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_________ lì________</w:t>
      </w:r>
    </w:p>
    <w:p>
      <w:pPr>
        <w:widowControl/>
        <w:suppressAutoHyphens w:val="0"/>
        <w:jc w:val="right"/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</w:pPr>
    </w:p>
    <w:p>
      <w:pPr>
        <w:widowControl/>
        <w:suppressAutoHyphens w:val="0"/>
        <w:jc w:val="right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  <w:r>
        <w:rPr>
          <w:rFonts w:hint="default" w:ascii="Verdana" w:hAnsi="Verdana" w:eastAsia="Times New Roman"/>
          <w:bCs/>
          <w:kern w:val="0"/>
          <w:sz w:val="22"/>
          <w:szCs w:val="22"/>
          <w:lang w:eastAsia="it-IT"/>
        </w:rPr>
        <w:t>Avv. _______</w:t>
      </w: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widowControl/>
        <w:suppressAutoHyphens w:val="0"/>
        <w:jc w:val="both"/>
        <w:rPr>
          <w:rFonts w:ascii="Verdana" w:hAnsi="Verdana" w:eastAsia="Times New Roman" w:cs="Times New Roman"/>
          <w:bCs/>
          <w:kern w:val="0"/>
          <w:sz w:val="22"/>
          <w:szCs w:val="22"/>
          <w:lang w:eastAsia="it-IT" w:bidi="ar-SA"/>
        </w:rPr>
      </w:pPr>
    </w:p>
    <w:p>
      <w:pPr>
        <w:rPr>
          <w:rFonts w:ascii="Verdana" w:hAnsi="Verdana"/>
          <w:sz w:val="22"/>
          <w:szCs w:val="2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0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>Per soddisfare il requisito della “</w:t>
      </w:r>
      <w:r>
        <w:rPr>
          <w:rFonts w:hint="default"/>
          <w:i/>
          <w:iCs/>
          <w:lang w:val="it-IT"/>
        </w:rPr>
        <w:t>chiarezza e specificità</w:t>
      </w:r>
      <w:r>
        <w:rPr>
          <w:rFonts w:hint="default"/>
          <w:lang w:val="it-IT"/>
        </w:rPr>
        <w:t xml:space="preserve">” è consigliabile indicare i fatti rilevanti in modo schemativo e/o numerato, indicando già gli allegati dimostrativi che si offrno in comunicazione; ad esempio: </w:t>
      </w:r>
      <w:r>
        <w:rPr>
          <w:rFonts w:hint="default"/>
          <w:i/>
          <w:iCs/>
          <w:lang w:val="it-IT"/>
        </w:rPr>
        <w:t>il convenuto Tizio in data 13.12.2021 sottoscriveva il contratto che recitava la prestazione di....., come si vede nell’allegato 1</w:t>
      </w:r>
      <w:r>
        <w:rPr>
          <w:rFonts w:hint="default"/>
          <w:lang w:val="it-IT"/>
        </w:rPr>
        <w:t>......</w:t>
      </w:r>
    </w:p>
  </w:footnote>
  <w:footnote w:id="1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>Il nuovo art. 163 c.p.c. prevede al n. 3-bis che “</w:t>
      </w:r>
      <w:r>
        <w:rPr>
          <w:rFonts w:hint="default"/>
          <w:i/>
          <w:iCs/>
          <w:lang w:val="it-IT"/>
        </w:rPr>
        <w:t>l’indicazione, nei casi in cui la domanda è soggetta a condizione di procedibilità, dell’assolvimento degli oneri previsti per il suo superamento”.</w:t>
      </w:r>
    </w:p>
  </w:footnote>
  <w:footnote w:id="2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 xml:space="preserve">Per soddisfare detto requisito, è consigliabile non rinviare genericamente a principi dell’ordinamento, ma indicare dettagliatamente l’articolo di legge che si assume vulnerato, unitamente al </w:t>
      </w:r>
      <w:r>
        <w:rPr>
          <w:rFonts w:hint="default"/>
          <w:i/>
          <w:iCs/>
          <w:lang w:val="it-IT"/>
        </w:rPr>
        <w:t xml:space="preserve">dictum </w:t>
      </w:r>
      <w:r>
        <w:rPr>
          <w:rFonts w:hint="default"/>
          <w:lang w:val="it-IT"/>
        </w:rPr>
        <w:t xml:space="preserve">testuale ivi previsto; la chiarezza e specificità è l’opposto della confusione e genericità, per cui il richiamo generico a principi, senza averne curca di individuarne la base normativa giustificativa, ben potrebbe difettare dei requisiti richiesti in riforma. D’altronde, tale impostazione è conforme con il rilievo che il sistema italiano è di </w:t>
      </w:r>
      <w:r>
        <w:rPr>
          <w:rFonts w:hint="default"/>
          <w:i/>
          <w:iCs/>
          <w:lang w:val="it-IT"/>
        </w:rPr>
        <w:t>civil law</w:t>
      </w:r>
      <w:r>
        <w:rPr>
          <w:rFonts w:hint="default"/>
          <w:lang w:val="it-IT"/>
        </w:rPr>
        <w:t xml:space="preserve"> e funziona secondo la formula 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PG : F --&gt; D (letto come: il provvedimento giudiziario PG consiste nel mandare il fatto F nel diritto D).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Per quanto chiarezza e precisione non implichino necessariamente anche “sinteticità”, è comunque conveniente non essere dispersivi: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>-sia perchè la lunghezza rischia di tradursi poca specificità;</w:t>
      </w:r>
    </w:p>
    <w:p>
      <w:pPr>
        <w:pStyle w:val="14"/>
        <w:snapToGrid w:val="0"/>
        <w:ind w:left="388" w:leftChars="106" w:hanging="134" w:hangingChars="67"/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 xml:space="preserve">-sia perchè la giurisprudenza si va orientando in senso critico verso la lunghezza dell’atto (per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"https://www.lanuovaproceduracivile.com/principio-di-sinteticita-eccesso-di-documentazione-e-una-forma-di-mascheramento-dei-dati-rilevanti/" </w:instrText>
      </w:r>
      <w:r>
        <w:rPr>
          <w:rFonts w:hint="default"/>
          <w:lang w:val="it-IT"/>
        </w:rPr>
        <w:fldChar w:fldCharType="separate"/>
      </w:r>
      <w:r>
        <w:rPr>
          <w:rStyle w:val="16"/>
          <w:rFonts w:hint="default"/>
          <w:lang w:val="it-IT"/>
        </w:rPr>
        <w:t>Cassazione civile, sezione terza, sentenza del 29.3.2022, n. 10004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l’eccesso di documentazione è una forma di mascheramento dei dati rilevanti, ancorchè per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"https://www.lanuovaproceduracivile.com/sinteticita-degli-atti-violazione-del-protocollo-cnf-corte-di-cassazione-conseguenze/" </w:instrText>
      </w:r>
      <w:r>
        <w:rPr>
          <w:rFonts w:hint="default"/>
          <w:lang w:val="it-IT"/>
        </w:rPr>
        <w:fldChar w:fldCharType="separate"/>
      </w:r>
      <w:r>
        <w:rPr>
          <w:rStyle w:val="16"/>
          <w:rFonts w:hint="default"/>
          <w:lang w:val="it-IT"/>
        </w:rPr>
        <w:t>Cassazione civile, sezione tributaria, ordinanza del 26.11.2021, n. 37066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 non può implicare la sanzioend ella nullità dell’atto; per approfondimenti, si rinvia al </w:t>
      </w:r>
      <w:r>
        <w:rPr>
          <w:rFonts w:hint="default"/>
          <w:lang w:val="it-IT"/>
        </w:rPr>
        <w:fldChar w:fldCharType="begin"/>
      </w:r>
      <w:r>
        <w:rPr>
          <w:rFonts w:hint="default"/>
          <w:lang w:val="it-IT"/>
        </w:rPr>
        <w:instrText xml:space="preserve"> HYPERLINK "https://www.lanuovaproceduracivile.com/focus-su-sinteticita-degli-atti-e-delle-udienze-giurisprudenza-dottrina-e-prassi/" </w:instrText>
      </w:r>
      <w:r>
        <w:rPr>
          <w:rFonts w:hint="default"/>
          <w:lang w:val="it-IT"/>
        </w:rPr>
        <w:fldChar w:fldCharType="separate"/>
      </w:r>
      <w:r>
        <w:rPr>
          <w:rStyle w:val="16"/>
          <w:rFonts w:hint="default"/>
          <w:lang w:val="it-IT"/>
        </w:rPr>
        <w:t>FOCUS</w:t>
      </w:r>
      <w:r>
        <w:rPr>
          <w:rFonts w:hint="default"/>
          <w:lang w:val="it-IT"/>
        </w:rPr>
        <w:fldChar w:fldCharType="end"/>
      </w:r>
      <w:r>
        <w:rPr>
          <w:rFonts w:hint="default"/>
          <w:lang w:val="it-IT"/>
        </w:rPr>
        <w:t xml:space="preserve">). </w:t>
      </w:r>
    </w:p>
  </w:footnote>
  <w:footnote w:id="3">
    <w:p>
      <w:pPr>
        <w:pStyle w:val="14"/>
        <w:snapToGrid w:val="0"/>
        <w:jc w:val="both"/>
        <w:rPr>
          <w:rFonts w:hint="default"/>
          <w:lang w:val="it-IT"/>
        </w:rPr>
      </w:pPr>
      <w:r>
        <w:rPr>
          <w:rStyle w:val="13"/>
        </w:rPr>
        <w:footnoteRef/>
      </w:r>
      <w:r>
        <w:t xml:space="preserve"> </w:t>
      </w:r>
      <w:r>
        <w:rPr>
          <w:rFonts w:hint="default"/>
          <w:lang w:val="it-IT"/>
        </w:rPr>
        <w:t>Previsione imposta dal nuovo art. 163 n. 7 c.p.c., laddove pretende “</w:t>
      </w:r>
      <w:r>
        <w:rPr>
          <w:rFonts w:hint="default"/>
          <w:i/>
          <w:iCs/>
          <w:lang w:val="it-IT"/>
        </w:rPr>
        <w:t>l'invito al convenuto a costituirsi nel termine di settanta giorni prima dell'udienza indicata ai sensi e nelle forme stabilite dall'articolo 166 e a comparire, nell'udienza indicata, dinanzi al giudice designato ai sensi dell'articolo 168-bis, con l'avvertimento che la costituzione oltre i suddetti termini implica le decadenze di cui agli articoli 38 e 167, che la difesa tecnica mediante avvocato  obbligatoria in tutti i giudizi davanti al tribunale, fatta eccezione per i casi previsti dall'articolo 86 o da leggi speciali, e che la parte, sussistendone i presupposti di legge, può presentare istanza per l'ammissione al patrocinio a spese dello Stato”.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9" o:spid="_x0000_s2051" o:spt="136" type="#_x0000_t136" style="position:absolute;left:0pt;height:54pt;width:759.75pt;mso-position-horizontal:center;mso-position-horizontal-relative:margin;mso-position-vertical:center;mso-position-vertical-relative:margin;rotation:20643840f;z-index:-251655168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8" o:spid="_x0000_s2050" o:spt="136" type="#_x0000_t136" style="position:absolute;left:0pt;height:54pt;width:759.75pt;mso-position-horizontal:center;mso-position-horizontal-relative:page;mso-position-vertical:center;mso-position-vertical-relative:page;rotation:20643840f;z-index:-251656192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7" o:spid="_x0000_s2049" o:spt="136" type="#_x0000_t136" style="position:absolute;left:0pt;height:54pt;width:759.75pt;mso-position-horizontal:center;mso-position-horizontal-relative:page;mso-position-vertical:center;mso-position-vertical-relative:page;rotation:20643840f;z-index:-251657216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1"/>
    <w:rsid w:val="00001DB0"/>
    <w:rsid w:val="0000217B"/>
    <w:rsid w:val="0000306A"/>
    <w:rsid w:val="00003B8A"/>
    <w:rsid w:val="00006444"/>
    <w:rsid w:val="000078F2"/>
    <w:rsid w:val="00011221"/>
    <w:rsid w:val="0002544B"/>
    <w:rsid w:val="00027869"/>
    <w:rsid w:val="00031F14"/>
    <w:rsid w:val="000352B0"/>
    <w:rsid w:val="00035C4A"/>
    <w:rsid w:val="00040372"/>
    <w:rsid w:val="000415E3"/>
    <w:rsid w:val="00041AB4"/>
    <w:rsid w:val="00042E26"/>
    <w:rsid w:val="0004332B"/>
    <w:rsid w:val="00043491"/>
    <w:rsid w:val="00043A8E"/>
    <w:rsid w:val="0004493F"/>
    <w:rsid w:val="0004502E"/>
    <w:rsid w:val="00053ED1"/>
    <w:rsid w:val="00054A87"/>
    <w:rsid w:val="00060918"/>
    <w:rsid w:val="000641C2"/>
    <w:rsid w:val="00074198"/>
    <w:rsid w:val="00075E95"/>
    <w:rsid w:val="00077A13"/>
    <w:rsid w:val="00080A8D"/>
    <w:rsid w:val="0008395B"/>
    <w:rsid w:val="00086A46"/>
    <w:rsid w:val="000926B6"/>
    <w:rsid w:val="00093DEF"/>
    <w:rsid w:val="00094309"/>
    <w:rsid w:val="000A0E75"/>
    <w:rsid w:val="000B5306"/>
    <w:rsid w:val="000B75EA"/>
    <w:rsid w:val="000C0D5B"/>
    <w:rsid w:val="000C10DA"/>
    <w:rsid w:val="000C1996"/>
    <w:rsid w:val="000C4019"/>
    <w:rsid w:val="000D0703"/>
    <w:rsid w:val="000D3747"/>
    <w:rsid w:val="000D4F6C"/>
    <w:rsid w:val="000D5FD4"/>
    <w:rsid w:val="000D63E5"/>
    <w:rsid w:val="000E17F4"/>
    <w:rsid w:val="000E2360"/>
    <w:rsid w:val="000E346B"/>
    <w:rsid w:val="000E50E5"/>
    <w:rsid w:val="000E65B1"/>
    <w:rsid w:val="000F1AD2"/>
    <w:rsid w:val="000F254A"/>
    <w:rsid w:val="000F35AE"/>
    <w:rsid w:val="000F40E4"/>
    <w:rsid w:val="00102276"/>
    <w:rsid w:val="001073BE"/>
    <w:rsid w:val="00107BFE"/>
    <w:rsid w:val="001106A1"/>
    <w:rsid w:val="001117DF"/>
    <w:rsid w:val="00114A31"/>
    <w:rsid w:val="00115084"/>
    <w:rsid w:val="00115BB4"/>
    <w:rsid w:val="00115C76"/>
    <w:rsid w:val="001212B8"/>
    <w:rsid w:val="00121E16"/>
    <w:rsid w:val="0012279D"/>
    <w:rsid w:val="00124415"/>
    <w:rsid w:val="001268EB"/>
    <w:rsid w:val="00127799"/>
    <w:rsid w:val="00130C86"/>
    <w:rsid w:val="00137491"/>
    <w:rsid w:val="0013749B"/>
    <w:rsid w:val="00137522"/>
    <w:rsid w:val="00137C3F"/>
    <w:rsid w:val="001411E4"/>
    <w:rsid w:val="0014241F"/>
    <w:rsid w:val="00142A6A"/>
    <w:rsid w:val="00145A04"/>
    <w:rsid w:val="00145B94"/>
    <w:rsid w:val="001468F7"/>
    <w:rsid w:val="00155196"/>
    <w:rsid w:val="00162F13"/>
    <w:rsid w:val="00163941"/>
    <w:rsid w:val="00167153"/>
    <w:rsid w:val="00174814"/>
    <w:rsid w:val="001759B4"/>
    <w:rsid w:val="0018012F"/>
    <w:rsid w:val="00181D16"/>
    <w:rsid w:val="00182A1D"/>
    <w:rsid w:val="00182B88"/>
    <w:rsid w:val="00183FE0"/>
    <w:rsid w:val="00186C0D"/>
    <w:rsid w:val="0019512C"/>
    <w:rsid w:val="001954A7"/>
    <w:rsid w:val="001A2428"/>
    <w:rsid w:val="001B0413"/>
    <w:rsid w:val="001B277A"/>
    <w:rsid w:val="001C1349"/>
    <w:rsid w:val="001C1D87"/>
    <w:rsid w:val="001C63D2"/>
    <w:rsid w:val="001D0590"/>
    <w:rsid w:val="001D5055"/>
    <w:rsid w:val="001E0619"/>
    <w:rsid w:val="001F2F57"/>
    <w:rsid w:val="00200516"/>
    <w:rsid w:val="00210401"/>
    <w:rsid w:val="0021097C"/>
    <w:rsid w:val="00213946"/>
    <w:rsid w:val="00214B41"/>
    <w:rsid w:val="0022003B"/>
    <w:rsid w:val="00223CC9"/>
    <w:rsid w:val="0023027D"/>
    <w:rsid w:val="00231730"/>
    <w:rsid w:val="00240547"/>
    <w:rsid w:val="00241C22"/>
    <w:rsid w:val="00243B0C"/>
    <w:rsid w:val="002506C8"/>
    <w:rsid w:val="00251481"/>
    <w:rsid w:val="00254297"/>
    <w:rsid w:val="00256D86"/>
    <w:rsid w:val="002575A8"/>
    <w:rsid w:val="002617EF"/>
    <w:rsid w:val="00263D34"/>
    <w:rsid w:val="00270320"/>
    <w:rsid w:val="00275C79"/>
    <w:rsid w:val="00276BC5"/>
    <w:rsid w:val="00281D70"/>
    <w:rsid w:val="0028528B"/>
    <w:rsid w:val="002868B0"/>
    <w:rsid w:val="002A203E"/>
    <w:rsid w:val="002A4D77"/>
    <w:rsid w:val="002B5827"/>
    <w:rsid w:val="002C2C74"/>
    <w:rsid w:val="002C3E6B"/>
    <w:rsid w:val="002C603C"/>
    <w:rsid w:val="002C7FC0"/>
    <w:rsid w:val="002D4257"/>
    <w:rsid w:val="002E006F"/>
    <w:rsid w:val="002E38AB"/>
    <w:rsid w:val="002E4884"/>
    <w:rsid w:val="002E5EEC"/>
    <w:rsid w:val="002E65E8"/>
    <w:rsid w:val="002E7FEA"/>
    <w:rsid w:val="002F47FE"/>
    <w:rsid w:val="002F5658"/>
    <w:rsid w:val="002F5D14"/>
    <w:rsid w:val="002F5F9F"/>
    <w:rsid w:val="002F679C"/>
    <w:rsid w:val="003051A3"/>
    <w:rsid w:val="003071A2"/>
    <w:rsid w:val="00312857"/>
    <w:rsid w:val="00312EB5"/>
    <w:rsid w:val="00323730"/>
    <w:rsid w:val="00323C4F"/>
    <w:rsid w:val="00325694"/>
    <w:rsid w:val="00327C8E"/>
    <w:rsid w:val="003307FE"/>
    <w:rsid w:val="0035422F"/>
    <w:rsid w:val="00356FF7"/>
    <w:rsid w:val="0036090D"/>
    <w:rsid w:val="00364CFE"/>
    <w:rsid w:val="003664C9"/>
    <w:rsid w:val="00380655"/>
    <w:rsid w:val="00382C2B"/>
    <w:rsid w:val="003946FF"/>
    <w:rsid w:val="003A2652"/>
    <w:rsid w:val="003A739B"/>
    <w:rsid w:val="003B2D2C"/>
    <w:rsid w:val="003B2E2F"/>
    <w:rsid w:val="003B7053"/>
    <w:rsid w:val="003C258A"/>
    <w:rsid w:val="003C39A1"/>
    <w:rsid w:val="003C68A2"/>
    <w:rsid w:val="003D08B0"/>
    <w:rsid w:val="003D2970"/>
    <w:rsid w:val="003D3015"/>
    <w:rsid w:val="003D3079"/>
    <w:rsid w:val="003D514D"/>
    <w:rsid w:val="003D5929"/>
    <w:rsid w:val="003E088D"/>
    <w:rsid w:val="003E229F"/>
    <w:rsid w:val="003E2464"/>
    <w:rsid w:val="003E4733"/>
    <w:rsid w:val="003E5FE4"/>
    <w:rsid w:val="003F1E2D"/>
    <w:rsid w:val="00401AEB"/>
    <w:rsid w:val="00407E2C"/>
    <w:rsid w:val="0041232F"/>
    <w:rsid w:val="00413473"/>
    <w:rsid w:val="004170AF"/>
    <w:rsid w:val="00422273"/>
    <w:rsid w:val="00425924"/>
    <w:rsid w:val="00433AD3"/>
    <w:rsid w:val="00435D5C"/>
    <w:rsid w:val="00435E44"/>
    <w:rsid w:val="004370C3"/>
    <w:rsid w:val="0044484E"/>
    <w:rsid w:val="0045495B"/>
    <w:rsid w:val="00454F6C"/>
    <w:rsid w:val="00455C41"/>
    <w:rsid w:val="004668D4"/>
    <w:rsid w:val="004675FA"/>
    <w:rsid w:val="00480D23"/>
    <w:rsid w:val="004813D1"/>
    <w:rsid w:val="00483DCA"/>
    <w:rsid w:val="00485F0E"/>
    <w:rsid w:val="00486139"/>
    <w:rsid w:val="0049429C"/>
    <w:rsid w:val="00496374"/>
    <w:rsid w:val="004A1D2C"/>
    <w:rsid w:val="004A6001"/>
    <w:rsid w:val="004A673B"/>
    <w:rsid w:val="004A71D0"/>
    <w:rsid w:val="004A7704"/>
    <w:rsid w:val="004B41A5"/>
    <w:rsid w:val="004B7321"/>
    <w:rsid w:val="004C0BFE"/>
    <w:rsid w:val="004C4AF8"/>
    <w:rsid w:val="004C61D5"/>
    <w:rsid w:val="004C6436"/>
    <w:rsid w:val="004C70C3"/>
    <w:rsid w:val="004D0DAD"/>
    <w:rsid w:val="004D19B5"/>
    <w:rsid w:val="004D3963"/>
    <w:rsid w:val="004D4735"/>
    <w:rsid w:val="004D69F3"/>
    <w:rsid w:val="004E010E"/>
    <w:rsid w:val="004E1B87"/>
    <w:rsid w:val="004E7E3D"/>
    <w:rsid w:val="004F794E"/>
    <w:rsid w:val="005031A4"/>
    <w:rsid w:val="00503E06"/>
    <w:rsid w:val="00514C3B"/>
    <w:rsid w:val="00516099"/>
    <w:rsid w:val="00523524"/>
    <w:rsid w:val="00524997"/>
    <w:rsid w:val="00530996"/>
    <w:rsid w:val="005321C1"/>
    <w:rsid w:val="00535DE2"/>
    <w:rsid w:val="00536A87"/>
    <w:rsid w:val="00546419"/>
    <w:rsid w:val="0055692A"/>
    <w:rsid w:val="0055728A"/>
    <w:rsid w:val="00557551"/>
    <w:rsid w:val="00564758"/>
    <w:rsid w:val="00565840"/>
    <w:rsid w:val="00575E9E"/>
    <w:rsid w:val="005840AA"/>
    <w:rsid w:val="00586DF8"/>
    <w:rsid w:val="00587C75"/>
    <w:rsid w:val="00590F17"/>
    <w:rsid w:val="005A08D1"/>
    <w:rsid w:val="005A4C1F"/>
    <w:rsid w:val="005A6119"/>
    <w:rsid w:val="005B5CA5"/>
    <w:rsid w:val="005C0861"/>
    <w:rsid w:val="005C4153"/>
    <w:rsid w:val="005C52B7"/>
    <w:rsid w:val="005C7CF1"/>
    <w:rsid w:val="005D28CC"/>
    <w:rsid w:val="005E012C"/>
    <w:rsid w:val="005E5CC9"/>
    <w:rsid w:val="005E746D"/>
    <w:rsid w:val="005F08FA"/>
    <w:rsid w:val="005F48F1"/>
    <w:rsid w:val="005F4970"/>
    <w:rsid w:val="005F4FAE"/>
    <w:rsid w:val="006011C0"/>
    <w:rsid w:val="00612AEB"/>
    <w:rsid w:val="00613FD4"/>
    <w:rsid w:val="006200FA"/>
    <w:rsid w:val="00631459"/>
    <w:rsid w:val="00633F84"/>
    <w:rsid w:val="006345B6"/>
    <w:rsid w:val="00634CA6"/>
    <w:rsid w:val="00637095"/>
    <w:rsid w:val="00645C6A"/>
    <w:rsid w:val="00646016"/>
    <w:rsid w:val="0064744E"/>
    <w:rsid w:val="00650B35"/>
    <w:rsid w:val="006512B3"/>
    <w:rsid w:val="00654598"/>
    <w:rsid w:val="00655047"/>
    <w:rsid w:val="00657477"/>
    <w:rsid w:val="00681B03"/>
    <w:rsid w:val="00684E35"/>
    <w:rsid w:val="0068564B"/>
    <w:rsid w:val="00696300"/>
    <w:rsid w:val="00697826"/>
    <w:rsid w:val="006A7638"/>
    <w:rsid w:val="006C0911"/>
    <w:rsid w:val="006C44CC"/>
    <w:rsid w:val="006D28A3"/>
    <w:rsid w:val="006D7DD3"/>
    <w:rsid w:val="006E1961"/>
    <w:rsid w:val="006E63EC"/>
    <w:rsid w:val="006F08BC"/>
    <w:rsid w:val="006F2DBF"/>
    <w:rsid w:val="00701C43"/>
    <w:rsid w:val="0071270F"/>
    <w:rsid w:val="007153A3"/>
    <w:rsid w:val="0071775C"/>
    <w:rsid w:val="007317F9"/>
    <w:rsid w:val="0073265C"/>
    <w:rsid w:val="00732B9C"/>
    <w:rsid w:val="00734802"/>
    <w:rsid w:val="00741811"/>
    <w:rsid w:val="00741BCC"/>
    <w:rsid w:val="00745337"/>
    <w:rsid w:val="007613B6"/>
    <w:rsid w:val="00763FA2"/>
    <w:rsid w:val="007642DF"/>
    <w:rsid w:val="007673CE"/>
    <w:rsid w:val="007713BF"/>
    <w:rsid w:val="007732F1"/>
    <w:rsid w:val="00783879"/>
    <w:rsid w:val="007851E5"/>
    <w:rsid w:val="00786168"/>
    <w:rsid w:val="00790FB6"/>
    <w:rsid w:val="00796207"/>
    <w:rsid w:val="007A08B7"/>
    <w:rsid w:val="007A1E46"/>
    <w:rsid w:val="007B1534"/>
    <w:rsid w:val="007B4071"/>
    <w:rsid w:val="007B61FA"/>
    <w:rsid w:val="007B68CC"/>
    <w:rsid w:val="007C25D5"/>
    <w:rsid w:val="007C3EE0"/>
    <w:rsid w:val="007C5931"/>
    <w:rsid w:val="007C6445"/>
    <w:rsid w:val="007D157F"/>
    <w:rsid w:val="007E4692"/>
    <w:rsid w:val="007E6FD2"/>
    <w:rsid w:val="007E761A"/>
    <w:rsid w:val="007F2C13"/>
    <w:rsid w:val="008113AE"/>
    <w:rsid w:val="00820775"/>
    <w:rsid w:val="00834512"/>
    <w:rsid w:val="008378A0"/>
    <w:rsid w:val="008405BE"/>
    <w:rsid w:val="00840BAC"/>
    <w:rsid w:val="00846714"/>
    <w:rsid w:val="00850109"/>
    <w:rsid w:val="00854E06"/>
    <w:rsid w:val="00857C5B"/>
    <w:rsid w:val="00872F65"/>
    <w:rsid w:val="0087331F"/>
    <w:rsid w:val="0087587B"/>
    <w:rsid w:val="00883A45"/>
    <w:rsid w:val="00886E83"/>
    <w:rsid w:val="00890CFF"/>
    <w:rsid w:val="008A51E5"/>
    <w:rsid w:val="008A6186"/>
    <w:rsid w:val="008A6DD3"/>
    <w:rsid w:val="008B0A90"/>
    <w:rsid w:val="008B1F90"/>
    <w:rsid w:val="008B2A23"/>
    <w:rsid w:val="008B73CC"/>
    <w:rsid w:val="008B7CA2"/>
    <w:rsid w:val="008C1550"/>
    <w:rsid w:val="008C6F25"/>
    <w:rsid w:val="008D2190"/>
    <w:rsid w:val="008D31BD"/>
    <w:rsid w:val="008D5B51"/>
    <w:rsid w:val="008D67B0"/>
    <w:rsid w:val="008D70C9"/>
    <w:rsid w:val="008E4C81"/>
    <w:rsid w:val="008E4E9B"/>
    <w:rsid w:val="008E6E84"/>
    <w:rsid w:val="0090100C"/>
    <w:rsid w:val="00903F8F"/>
    <w:rsid w:val="00917C34"/>
    <w:rsid w:val="00921106"/>
    <w:rsid w:val="00925D05"/>
    <w:rsid w:val="009304FC"/>
    <w:rsid w:val="00930E34"/>
    <w:rsid w:val="00934C2F"/>
    <w:rsid w:val="00935929"/>
    <w:rsid w:val="00940EC7"/>
    <w:rsid w:val="00942033"/>
    <w:rsid w:val="00946794"/>
    <w:rsid w:val="009467F3"/>
    <w:rsid w:val="00953642"/>
    <w:rsid w:val="00954209"/>
    <w:rsid w:val="0095590F"/>
    <w:rsid w:val="00955A8D"/>
    <w:rsid w:val="00957D7D"/>
    <w:rsid w:val="00960273"/>
    <w:rsid w:val="009739B6"/>
    <w:rsid w:val="009748D1"/>
    <w:rsid w:val="00991EC2"/>
    <w:rsid w:val="00996492"/>
    <w:rsid w:val="009A4341"/>
    <w:rsid w:val="009A4D91"/>
    <w:rsid w:val="009A619F"/>
    <w:rsid w:val="009A7AFD"/>
    <w:rsid w:val="009B2850"/>
    <w:rsid w:val="009B2DCF"/>
    <w:rsid w:val="009B4F87"/>
    <w:rsid w:val="009C2853"/>
    <w:rsid w:val="009C3C94"/>
    <w:rsid w:val="009C7CE2"/>
    <w:rsid w:val="009D46D6"/>
    <w:rsid w:val="009E0435"/>
    <w:rsid w:val="009E3274"/>
    <w:rsid w:val="009E7C13"/>
    <w:rsid w:val="009F2331"/>
    <w:rsid w:val="009F3063"/>
    <w:rsid w:val="009F5C5C"/>
    <w:rsid w:val="00A03F91"/>
    <w:rsid w:val="00A05AFB"/>
    <w:rsid w:val="00A11E1E"/>
    <w:rsid w:val="00A1296B"/>
    <w:rsid w:val="00A14464"/>
    <w:rsid w:val="00A15B0A"/>
    <w:rsid w:val="00A16780"/>
    <w:rsid w:val="00A173DE"/>
    <w:rsid w:val="00A17DC8"/>
    <w:rsid w:val="00A208F7"/>
    <w:rsid w:val="00A25FF6"/>
    <w:rsid w:val="00A3526F"/>
    <w:rsid w:val="00A456FD"/>
    <w:rsid w:val="00A47F2F"/>
    <w:rsid w:val="00A54D5B"/>
    <w:rsid w:val="00A5595B"/>
    <w:rsid w:val="00A5736B"/>
    <w:rsid w:val="00A57D60"/>
    <w:rsid w:val="00A653EF"/>
    <w:rsid w:val="00A670BB"/>
    <w:rsid w:val="00A75CC8"/>
    <w:rsid w:val="00A76ECB"/>
    <w:rsid w:val="00A77CFB"/>
    <w:rsid w:val="00A90E8E"/>
    <w:rsid w:val="00AA2E26"/>
    <w:rsid w:val="00AA363B"/>
    <w:rsid w:val="00AA3CDE"/>
    <w:rsid w:val="00AB0056"/>
    <w:rsid w:val="00AB2816"/>
    <w:rsid w:val="00AC11A1"/>
    <w:rsid w:val="00AD09C4"/>
    <w:rsid w:val="00AD0B4A"/>
    <w:rsid w:val="00AD4500"/>
    <w:rsid w:val="00AD5E22"/>
    <w:rsid w:val="00AE3108"/>
    <w:rsid w:val="00AE6D91"/>
    <w:rsid w:val="00B048D1"/>
    <w:rsid w:val="00B111F5"/>
    <w:rsid w:val="00B15CD3"/>
    <w:rsid w:val="00B209BD"/>
    <w:rsid w:val="00B236D0"/>
    <w:rsid w:val="00B32220"/>
    <w:rsid w:val="00B35C97"/>
    <w:rsid w:val="00B3712D"/>
    <w:rsid w:val="00B461F4"/>
    <w:rsid w:val="00B52B9B"/>
    <w:rsid w:val="00B56A8E"/>
    <w:rsid w:val="00B60466"/>
    <w:rsid w:val="00B71D16"/>
    <w:rsid w:val="00B72C3B"/>
    <w:rsid w:val="00B75DB1"/>
    <w:rsid w:val="00B80663"/>
    <w:rsid w:val="00B80894"/>
    <w:rsid w:val="00B80D91"/>
    <w:rsid w:val="00B8750C"/>
    <w:rsid w:val="00B92585"/>
    <w:rsid w:val="00BA36CC"/>
    <w:rsid w:val="00BA384E"/>
    <w:rsid w:val="00BA560A"/>
    <w:rsid w:val="00BA60CC"/>
    <w:rsid w:val="00BA6885"/>
    <w:rsid w:val="00BB1184"/>
    <w:rsid w:val="00BB1BAC"/>
    <w:rsid w:val="00BB61FB"/>
    <w:rsid w:val="00BC0493"/>
    <w:rsid w:val="00BC0B04"/>
    <w:rsid w:val="00BC14B4"/>
    <w:rsid w:val="00BC1D54"/>
    <w:rsid w:val="00BC2599"/>
    <w:rsid w:val="00BC73A7"/>
    <w:rsid w:val="00BD5FB8"/>
    <w:rsid w:val="00BD7893"/>
    <w:rsid w:val="00BF1801"/>
    <w:rsid w:val="00BF24B6"/>
    <w:rsid w:val="00BF2782"/>
    <w:rsid w:val="00BF3F79"/>
    <w:rsid w:val="00C01E05"/>
    <w:rsid w:val="00C03F5F"/>
    <w:rsid w:val="00C0645C"/>
    <w:rsid w:val="00C07569"/>
    <w:rsid w:val="00C21093"/>
    <w:rsid w:val="00C22AEC"/>
    <w:rsid w:val="00C2325E"/>
    <w:rsid w:val="00C23BBB"/>
    <w:rsid w:val="00C24A9A"/>
    <w:rsid w:val="00C257F2"/>
    <w:rsid w:val="00C47219"/>
    <w:rsid w:val="00C50B50"/>
    <w:rsid w:val="00C5289E"/>
    <w:rsid w:val="00C54173"/>
    <w:rsid w:val="00C6080F"/>
    <w:rsid w:val="00C70B7E"/>
    <w:rsid w:val="00C750CF"/>
    <w:rsid w:val="00C75259"/>
    <w:rsid w:val="00C839F4"/>
    <w:rsid w:val="00C849D1"/>
    <w:rsid w:val="00C8555D"/>
    <w:rsid w:val="00C90D4D"/>
    <w:rsid w:val="00C94944"/>
    <w:rsid w:val="00CA4CCD"/>
    <w:rsid w:val="00CA6BA4"/>
    <w:rsid w:val="00CB0671"/>
    <w:rsid w:val="00CB3395"/>
    <w:rsid w:val="00CC0FD0"/>
    <w:rsid w:val="00CC124F"/>
    <w:rsid w:val="00CC2AB2"/>
    <w:rsid w:val="00CC2CC7"/>
    <w:rsid w:val="00CC3F73"/>
    <w:rsid w:val="00CC6F9C"/>
    <w:rsid w:val="00CD08F2"/>
    <w:rsid w:val="00CD2A0D"/>
    <w:rsid w:val="00CD7FF1"/>
    <w:rsid w:val="00CE1C09"/>
    <w:rsid w:val="00CE1DB9"/>
    <w:rsid w:val="00CE4849"/>
    <w:rsid w:val="00CE6CE9"/>
    <w:rsid w:val="00CF1478"/>
    <w:rsid w:val="00CF2D8C"/>
    <w:rsid w:val="00CF3727"/>
    <w:rsid w:val="00CF3E3F"/>
    <w:rsid w:val="00D00FA9"/>
    <w:rsid w:val="00D011BF"/>
    <w:rsid w:val="00D05682"/>
    <w:rsid w:val="00D1058B"/>
    <w:rsid w:val="00D14879"/>
    <w:rsid w:val="00D205DB"/>
    <w:rsid w:val="00D20FB2"/>
    <w:rsid w:val="00D22161"/>
    <w:rsid w:val="00D23380"/>
    <w:rsid w:val="00D43075"/>
    <w:rsid w:val="00D47AC2"/>
    <w:rsid w:val="00D57F0D"/>
    <w:rsid w:val="00D601D1"/>
    <w:rsid w:val="00D60FCA"/>
    <w:rsid w:val="00D64E39"/>
    <w:rsid w:val="00D66C99"/>
    <w:rsid w:val="00D71386"/>
    <w:rsid w:val="00D724D5"/>
    <w:rsid w:val="00D72CA1"/>
    <w:rsid w:val="00D73A61"/>
    <w:rsid w:val="00D803D6"/>
    <w:rsid w:val="00D81EBF"/>
    <w:rsid w:val="00D83DD5"/>
    <w:rsid w:val="00D875FD"/>
    <w:rsid w:val="00D90B1D"/>
    <w:rsid w:val="00DA12FE"/>
    <w:rsid w:val="00DA1883"/>
    <w:rsid w:val="00DA2FFC"/>
    <w:rsid w:val="00DB2E09"/>
    <w:rsid w:val="00DB747A"/>
    <w:rsid w:val="00DC29FC"/>
    <w:rsid w:val="00DC5B32"/>
    <w:rsid w:val="00DD204E"/>
    <w:rsid w:val="00DD2618"/>
    <w:rsid w:val="00DD407F"/>
    <w:rsid w:val="00DE28B2"/>
    <w:rsid w:val="00DE3467"/>
    <w:rsid w:val="00DF5AAB"/>
    <w:rsid w:val="00DF79E7"/>
    <w:rsid w:val="00E03998"/>
    <w:rsid w:val="00E1101D"/>
    <w:rsid w:val="00E14113"/>
    <w:rsid w:val="00E1461E"/>
    <w:rsid w:val="00E14C61"/>
    <w:rsid w:val="00E306A9"/>
    <w:rsid w:val="00E35E4C"/>
    <w:rsid w:val="00E36CA4"/>
    <w:rsid w:val="00E405FB"/>
    <w:rsid w:val="00E42294"/>
    <w:rsid w:val="00E46C16"/>
    <w:rsid w:val="00E5128A"/>
    <w:rsid w:val="00E51C36"/>
    <w:rsid w:val="00E54271"/>
    <w:rsid w:val="00E651F0"/>
    <w:rsid w:val="00E712C8"/>
    <w:rsid w:val="00E759B3"/>
    <w:rsid w:val="00E80359"/>
    <w:rsid w:val="00E9155E"/>
    <w:rsid w:val="00E9157D"/>
    <w:rsid w:val="00E96BEB"/>
    <w:rsid w:val="00EA3345"/>
    <w:rsid w:val="00EA52AF"/>
    <w:rsid w:val="00EA6094"/>
    <w:rsid w:val="00EB0E43"/>
    <w:rsid w:val="00EB2D8A"/>
    <w:rsid w:val="00EB5FA0"/>
    <w:rsid w:val="00EB60B9"/>
    <w:rsid w:val="00EB61C9"/>
    <w:rsid w:val="00EB6B1C"/>
    <w:rsid w:val="00EC31BC"/>
    <w:rsid w:val="00EC4C33"/>
    <w:rsid w:val="00EC531B"/>
    <w:rsid w:val="00EC53D3"/>
    <w:rsid w:val="00ED191C"/>
    <w:rsid w:val="00ED7B2C"/>
    <w:rsid w:val="00EE0C1A"/>
    <w:rsid w:val="00EE408D"/>
    <w:rsid w:val="00EE5FAD"/>
    <w:rsid w:val="00EF4E91"/>
    <w:rsid w:val="00F00D7B"/>
    <w:rsid w:val="00F03FA4"/>
    <w:rsid w:val="00F16677"/>
    <w:rsid w:val="00F2164A"/>
    <w:rsid w:val="00F22745"/>
    <w:rsid w:val="00F344C2"/>
    <w:rsid w:val="00F349A8"/>
    <w:rsid w:val="00F4380A"/>
    <w:rsid w:val="00F461D0"/>
    <w:rsid w:val="00F52C95"/>
    <w:rsid w:val="00F63FC9"/>
    <w:rsid w:val="00F64E24"/>
    <w:rsid w:val="00F864C1"/>
    <w:rsid w:val="00F92240"/>
    <w:rsid w:val="00F92FE7"/>
    <w:rsid w:val="00FB172D"/>
    <w:rsid w:val="00FB2CAA"/>
    <w:rsid w:val="00FB3D03"/>
    <w:rsid w:val="00FB7C91"/>
    <w:rsid w:val="00FC13CE"/>
    <w:rsid w:val="00FC41B0"/>
    <w:rsid w:val="00FC654C"/>
    <w:rsid w:val="00FD6BE2"/>
    <w:rsid w:val="00FD71AB"/>
    <w:rsid w:val="00FE22D6"/>
    <w:rsid w:val="00FE3BC0"/>
    <w:rsid w:val="00FF692C"/>
    <w:rsid w:val="00FF785F"/>
    <w:rsid w:val="026945E7"/>
    <w:rsid w:val="043938A5"/>
    <w:rsid w:val="045C213B"/>
    <w:rsid w:val="07244697"/>
    <w:rsid w:val="085B147D"/>
    <w:rsid w:val="0B092376"/>
    <w:rsid w:val="0E2C6EF6"/>
    <w:rsid w:val="10C36704"/>
    <w:rsid w:val="10CF73C2"/>
    <w:rsid w:val="1149604D"/>
    <w:rsid w:val="128B3B8A"/>
    <w:rsid w:val="13956B63"/>
    <w:rsid w:val="14145AA8"/>
    <w:rsid w:val="16641394"/>
    <w:rsid w:val="170B7F4E"/>
    <w:rsid w:val="18150058"/>
    <w:rsid w:val="187D07CA"/>
    <w:rsid w:val="18A26DFF"/>
    <w:rsid w:val="18A72E0E"/>
    <w:rsid w:val="18D617D8"/>
    <w:rsid w:val="190D5A95"/>
    <w:rsid w:val="19CF2302"/>
    <w:rsid w:val="1A84057F"/>
    <w:rsid w:val="1AEA4AE0"/>
    <w:rsid w:val="20153BE1"/>
    <w:rsid w:val="20703354"/>
    <w:rsid w:val="214C72FC"/>
    <w:rsid w:val="24507723"/>
    <w:rsid w:val="25916A7C"/>
    <w:rsid w:val="26196460"/>
    <w:rsid w:val="262B37F0"/>
    <w:rsid w:val="280671AA"/>
    <w:rsid w:val="28B237FC"/>
    <w:rsid w:val="29E16DC0"/>
    <w:rsid w:val="2B6E2BCF"/>
    <w:rsid w:val="2C8D5F82"/>
    <w:rsid w:val="2D0D2363"/>
    <w:rsid w:val="30635382"/>
    <w:rsid w:val="30D320A6"/>
    <w:rsid w:val="320B684D"/>
    <w:rsid w:val="36422FDB"/>
    <w:rsid w:val="38A41DCA"/>
    <w:rsid w:val="38CA794B"/>
    <w:rsid w:val="39425391"/>
    <w:rsid w:val="3A2E077F"/>
    <w:rsid w:val="3C3E1309"/>
    <w:rsid w:val="3C9E59B5"/>
    <w:rsid w:val="3CAA6426"/>
    <w:rsid w:val="3FEC75BD"/>
    <w:rsid w:val="41942FCA"/>
    <w:rsid w:val="423A5BE3"/>
    <w:rsid w:val="42436393"/>
    <w:rsid w:val="43FF31E3"/>
    <w:rsid w:val="464A65D9"/>
    <w:rsid w:val="47382939"/>
    <w:rsid w:val="473D7C0D"/>
    <w:rsid w:val="4AB85E98"/>
    <w:rsid w:val="4C571EAC"/>
    <w:rsid w:val="4CB27094"/>
    <w:rsid w:val="4F4620C6"/>
    <w:rsid w:val="4F6614A8"/>
    <w:rsid w:val="506E5A0F"/>
    <w:rsid w:val="51021DA9"/>
    <w:rsid w:val="520A6C0D"/>
    <w:rsid w:val="521221EA"/>
    <w:rsid w:val="52A27CFF"/>
    <w:rsid w:val="52B31D43"/>
    <w:rsid w:val="533F3CCA"/>
    <w:rsid w:val="547E4CB2"/>
    <w:rsid w:val="549E2B58"/>
    <w:rsid w:val="55CB5F0D"/>
    <w:rsid w:val="56A6001C"/>
    <w:rsid w:val="5A034BD0"/>
    <w:rsid w:val="5ABD5B2C"/>
    <w:rsid w:val="5BBB2546"/>
    <w:rsid w:val="5E175E2C"/>
    <w:rsid w:val="5FE377F5"/>
    <w:rsid w:val="61FF41AE"/>
    <w:rsid w:val="64026F63"/>
    <w:rsid w:val="65E92B0F"/>
    <w:rsid w:val="66B12844"/>
    <w:rsid w:val="676B4298"/>
    <w:rsid w:val="68BA019B"/>
    <w:rsid w:val="6AA20A66"/>
    <w:rsid w:val="6BA02A3F"/>
    <w:rsid w:val="6BF9122A"/>
    <w:rsid w:val="6D411A41"/>
    <w:rsid w:val="6F3E4BFE"/>
    <w:rsid w:val="71C6372C"/>
    <w:rsid w:val="72773C2C"/>
    <w:rsid w:val="76C630E1"/>
    <w:rsid w:val="7A532428"/>
    <w:rsid w:val="7B5E1511"/>
    <w:rsid w:val="7D2002FA"/>
    <w:rsid w:val="7EBB6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kern w:val="1"/>
      <w:sz w:val="24"/>
      <w:szCs w:val="24"/>
      <w:lang w:val="it-IT" w:eastAsia="hi-IN" w:bidi="hi-IN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uppressAutoHyphens w:val="0"/>
      <w:spacing w:before="240" w:after="60" w:line="276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eastAsia="en-US" w:bidi="ar-SA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Mangal"/>
      <w:b/>
      <w:bCs/>
      <w:i/>
      <w:iCs/>
      <w:sz w:val="28"/>
      <w:szCs w:val="25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widowControl/>
      <w:suppressAutoHyphens w:val="0"/>
      <w:spacing w:before="240" w:after="60" w:line="276" w:lineRule="auto"/>
      <w:outlineLvl w:val="2"/>
    </w:pPr>
    <w:rPr>
      <w:rFonts w:ascii="Calibri Light" w:hAnsi="Calibri Light" w:eastAsia="Times New Roman" w:cs="Times New Roman"/>
      <w:b/>
      <w:bCs/>
      <w:kern w:val="0"/>
      <w:sz w:val="26"/>
      <w:szCs w:val="26"/>
      <w:lang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4"/>
    <w:unhideWhenUsed/>
    <w:qFormat/>
    <w:uiPriority w:val="99"/>
    <w:pPr>
      <w:widowControl/>
      <w:suppressAutoHyphens w:val="0"/>
    </w:pPr>
    <w:rPr>
      <w:rFonts w:ascii="Segoe UI" w:hAnsi="Segoe UI" w:eastAsia="Calibri" w:cs="Segoe UI"/>
      <w:kern w:val="0"/>
      <w:sz w:val="18"/>
      <w:szCs w:val="18"/>
      <w:lang w:eastAsia="en-US" w:bidi="ar-SA"/>
    </w:rPr>
  </w:style>
  <w:style w:type="paragraph" w:styleId="8">
    <w:name w:val="Body Text"/>
    <w:basedOn w:val="1"/>
    <w:qFormat/>
    <w:uiPriority w:val="0"/>
    <w:pPr>
      <w:spacing w:before="0" w:after="120"/>
      <w:ind w:left="283" w:right="0" w:hanging="283"/>
    </w:pPr>
  </w:style>
  <w:style w:type="character" w:styleId="9">
    <w:name w:val="Emphasis"/>
    <w:qFormat/>
    <w:uiPriority w:val="20"/>
    <w:rPr>
      <w:i/>
      <w:iCs/>
    </w:rPr>
  </w:style>
  <w:style w:type="character" w:styleId="10">
    <w:name w:val="endnote reference"/>
    <w:qFormat/>
    <w:uiPriority w:val="0"/>
    <w:rPr>
      <w:vertAlign w:val="superscript"/>
    </w:rPr>
  </w:style>
  <w:style w:type="character" w:styleId="11">
    <w:name w:val="FollowedHyperlink"/>
    <w:basedOn w:val="5"/>
    <w:unhideWhenUsed/>
    <w:qFormat/>
    <w:uiPriority w:val="99"/>
    <w:rPr>
      <w:color w:val="800080"/>
      <w:u w:val="single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3">
    <w:name w:val="footnote reference"/>
    <w:basedOn w:val="5"/>
    <w:qFormat/>
    <w:uiPriority w:val="99"/>
    <w:rPr>
      <w:vertAlign w:val="superscript"/>
    </w:rPr>
  </w:style>
  <w:style w:type="paragraph" w:styleId="14">
    <w:name w:val="footnote text"/>
    <w:basedOn w:val="1"/>
    <w:link w:val="26"/>
    <w:qFormat/>
    <w:uiPriority w:val="99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6">
    <w:name w:val="Hyperlink"/>
    <w:basedOn w:val="5"/>
    <w:qFormat/>
    <w:uiPriority w:val="99"/>
    <w:rPr>
      <w:color w:val="000080"/>
      <w:u w:val="single"/>
    </w:rPr>
  </w:style>
  <w:style w:type="paragraph" w:styleId="17">
    <w:name w:val="List"/>
    <w:basedOn w:val="8"/>
    <w:qFormat/>
    <w:uiPriority w:val="0"/>
  </w:style>
  <w:style w:type="paragraph" w:styleId="18">
    <w:name w:val="Normal (Web)"/>
    <w:basedOn w:val="1"/>
    <w:unhideWhenUsed/>
    <w:qFormat/>
    <w:uiPriority w:val="99"/>
    <w:rPr>
      <w:rFonts w:cs="Mangal"/>
      <w:szCs w:val="21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6"/>
    <w:unhideWhenUsed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Titolo 1 Carattere"/>
    <w:link w:val="2"/>
    <w:qFormat/>
    <w:uiPriority w:val="9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22">
    <w:name w:val="Titolo 2 Carattere"/>
    <w:link w:val="3"/>
    <w:semiHidden/>
    <w:qFormat/>
    <w:uiPriority w:val="9"/>
    <w:rPr>
      <w:rFonts w:ascii="Cambria" w:hAnsi="Cambria" w:eastAsia="Times New Roman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23">
    <w:name w:val="Titolo 3 Carattere"/>
    <w:link w:val="4"/>
    <w:qFormat/>
    <w:uiPriority w:val="9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24">
    <w:name w:val="Testo fumetto Carattere"/>
    <w:link w:val="7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customStyle="1" w:styleId="25">
    <w:name w:val="Piè di pagina Carattere"/>
    <w:link w:val="12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6">
    <w:name w:val="Testo nota a piè di pagina Carattere"/>
    <w:link w:val="14"/>
    <w:qFormat/>
    <w:uiPriority w:val="99"/>
    <w:rPr>
      <w:rFonts w:eastAsia="Arial Unicode MS" w:cs="Arial Unicode MS"/>
      <w:kern w:val="1"/>
      <w:lang w:eastAsia="hi-IN" w:bidi="hi-IN"/>
    </w:rPr>
  </w:style>
  <w:style w:type="character" w:customStyle="1" w:styleId="27">
    <w:name w:val="Intestazione Carattere"/>
    <w:link w:val="15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8">
    <w:name w:val="Carattere della nota"/>
    <w:qFormat/>
    <w:uiPriority w:val="0"/>
  </w:style>
  <w:style w:type="character" w:customStyle="1" w:styleId="29">
    <w:name w:val="Carattere di numerazione"/>
    <w:qFormat/>
    <w:uiPriority w:val="0"/>
  </w:style>
  <w:style w:type="character" w:customStyle="1" w:styleId="30">
    <w:name w:val="Carattere nota di chiusura"/>
    <w:qFormat/>
    <w:uiPriority w:val="0"/>
    <w:rPr>
      <w:vertAlign w:val="superscript"/>
    </w:rPr>
  </w:style>
  <w:style w:type="character" w:customStyle="1" w:styleId="31">
    <w:name w:val="WW-Carattere nota di chiusura"/>
    <w:qFormat/>
    <w:uiPriority w:val="0"/>
  </w:style>
  <w:style w:type="paragraph" w:customStyle="1" w:styleId="32">
    <w:name w:val="Intestazione1"/>
    <w:basedOn w:val="1"/>
    <w:next w:val="8"/>
    <w:qFormat/>
    <w:uiPriority w:val="0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customStyle="1" w:styleId="33">
    <w:name w:val="Didascalia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Indice"/>
    <w:basedOn w:val="1"/>
    <w:qFormat/>
    <w:uiPriority w:val="0"/>
    <w:pPr>
      <w:suppressLineNumbers/>
    </w:pPr>
  </w:style>
  <w:style w:type="paragraph" w:customStyle="1" w:styleId="35">
    <w:name w:val="sent_normal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character" w:customStyle="1" w:styleId="37">
    <w:name w:val="_5yl5"/>
    <w:qFormat/>
    <w:uiPriority w:val="0"/>
  </w:style>
  <w:style w:type="character" w:customStyle="1" w:styleId="38">
    <w:name w:val="st"/>
    <w:qFormat/>
    <w:uiPriority w:val="0"/>
  </w:style>
  <w:style w:type="character" w:customStyle="1" w:styleId="39">
    <w:name w:val="ambitosistlegge"/>
    <w:qFormat/>
    <w:uiPriority w:val="0"/>
  </w:style>
  <w:style w:type="character" w:customStyle="1" w:styleId="40">
    <w:name w:val="highlight"/>
    <w:qFormat/>
    <w:uiPriority w:val="0"/>
  </w:style>
  <w:style w:type="paragraph" w:customStyle="1" w:styleId="41">
    <w:name w:val="dottge_nota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2">
    <w:name w:val="dottge_r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3">
    <w:name w:val="dottge_fonte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4">
    <w:name w:val="dottge_titolo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character" w:customStyle="1" w:styleId="45">
    <w:name w:val="corsivo"/>
    <w:qFormat/>
    <w:uiPriority w:val="0"/>
    <w:rPr>
      <w:i/>
      <w:iCs/>
    </w:rPr>
  </w:style>
  <w:style w:type="character" w:customStyle="1" w:styleId="46">
    <w:name w:val="grassetto"/>
    <w:qFormat/>
    <w:uiPriority w:val="0"/>
    <w:rPr>
      <w:b/>
      <w:bCs/>
    </w:rPr>
  </w:style>
  <w:style w:type="character" w:customStyle="1" w:styleId="47">
    <w:name w:val="blackunder"/>
    <w:qFormat/>
    <w:uiPriority w:val="0"/>
  </w:style>
  <w:style w:type="table" w:customStyle="1" w:styleId="48">
    <w:name w:val="Griglia tabella1"/>
    <w:basedOn w:val="6"/>
    <w:qFormat/>
    <w:uiPriority w:val="59"/>
    <w:rPr>
      <w:rFonts w:ascii="Calibri" w:hAnsi="Calibri" w:eastAsia="Calibri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2248</Words>
  <Characters>14155</Characters>
  <Lines>42</Lines>
  <Paragraphs>11</Paragraphs>
  <TotalTime>129</TotalTime>
  <ScaleCrop>false</ScaleCrop>
  <LinksUpToDate>false</LinksUpToDate>
  <CharactersWithSpaces>16352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2021-02-26T08:20:00Z</dcterms:created>
  <dc:creator>Giuseppe Lisella</dc:creator>
  <cp:lastModifiedBy>StudioLegaleViola SLV</cp:lastModifiedBy>
  <cp:lastPrinted>2020-06-17T09:11:00Z</cp:lastPrinted>
  <dcterms:modified xsi:type="dcterms:W3CDTF">2022-09-08T08:26:54Z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3D4E0F14330D45D5B01A921FDB3A38AC</vt:lpwstr>
  </property>
</Properties>
</file>